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D9E5E" w14:textId="34E7E121" w:rsidR="002865FE" w:rsidRPr="001B7AA9" w:rsidRDefault="002865FE" w:rsidP="001B7AA9">
      <w:pPr>
        <w:rPr>
          <w:rFonts w:ascii="Arial" w:hAnsi="Arial" w:cs="Arial"/>
          <w:sz w:val="22"/>
          <w:szCs w:val="22"/>
          <w:lang w:val="es-CO"/>
        </w:rPr>
      </w:pPr>
      <w:r w:rsidRPr="001B7AA9">
        <w:rPr>
          <w:rFonts w:ascii="Arial" w:hAnsi="Arial" w:cs="Arial"/>
          <w:sz w:val="22"/>
          <w:szCs w:val="22"/>
          <w:lang w:val="es-CO"/>
        </w:rPr>
        <w:t>CSJCAO25-</w:t>
      </w:r>
      <w:r w:rsidR="0093598A" w:rsidRPr="001B7AA9">
        <w:rPr>
          <w:rFonts w:ascii="Arial" w:hAnsi="Arial" w:cs="Arial"/>
          <w:sz w:val="22"/>
          <w:szCs w:val="22"/>
          <w:lang w:val="es-CO"/>
        </w:rPr>
        <w:t>1073</w:t>
      </w:r>
    </w:p>
    <w:p w14:paraId="38616161" w14:textId="77777777" w:rsidR="002865FE" w:rsidRPr="001B7AA9" w:rsidRDefault="002865FE" w:rsidP="001B7AA9">
      <w:pPr>
        <w:jc w:val="both"/>
        <w:rPr>
          <w:rFonts w:ascii="Arial" w:hAnsi="Arial" w:cs="Arial"/>
          <w:sz w:val="22"/>
          <w:szCs w:val="22"/>
          <w:lang w:val="es-CO"/>
        </w:rPr>
      </w:pPr>
      <w:r w:rsidRPr="001B7AA9">
        <w:rPr>
          <w:rFonts w:ascii="Arial" w:hAnsi="Arial" w:cs="Arial"/>
          <w:sz w:val="22"/>
          <w:szCs w:val="22"/>
          <w:lang w:val="es-CO"/>
        </w:rPr>
        <w:t>Manizales, junio 6, 2025</w:t>
      </w:r>
    </w:p>
    <w:p w14:paraId="0AE18901" w14:textId="77777777" w:rsidR="002865FE" w:rsidRPr="001B7AA9" w:rsidRDefault="002865FE" w:rsidP="001B7AA9">
      <w:pPr>
        <w:jc w:val="both"/>
        <w:rPr>
          <w:rFonts w:ascii="Arial" w:hAnsi="Arial" w:cs="Arial"/>
          <w:sz w:val="22"/>
          <w:szCs w:val="22"/>
          <w:lang w:val="es-CO"/>
        </w:rPr>
      </w:pPr>
    </w:p>
    <w:p w14:paraId="095198C6" w14:textId="77777777" w:rsidR="002865FE" w:rsidRPr="001B7AA9" w:rsidRDefault="002865FE" w:rsidP="001B7AA9">
      <w:pPr>
        <w:jc w:val="both"/>
        <w:rPr>
          <w:rFonts w:ascii="Arial" w:hAnsi="Arial" w:cs="Arial"/>
          <w:color w:val="000000"/>
          <w:sz w:val="22"/>
          <w:szCs w:val="22"/>
          <w:lang w:val="es-CO"/>
        </w:rPr>
      </w:pPr>
    </w:p>
    <w:p w14:paraId="1A5E9A41" w14:textId="77777777" w:rsidR="002865FE" w:rsidRPr="001B7AA9" w:rsidRDefault="002865FE" w:rsidP="001B7AA9">
      <w:pPr>
        <w:jc w:val="both"/>
        <w:rPr>
          <w:rFonts w:ascii="Arial" w:hAnsi="Arial" w:cs="Arial"/>
          <w:color w:val="000000"/>
          <w:sz w:val="22"/>
          <w:szCs w:val="22"/>
          <w:lang w:val="es-CO"/>
        </w:rPr>
      </w:pPr>
      <w:r w:rsidRPr="001B7AA9">
        <w:rPr>
          <w:rFonts w:ascii="Arial" w:hAnsi="Arial" w:cs="Arial"/>
          <w:color w:val="000000"/>
          <w:sz w:val="22"/>
          <w:szCs w:val="22"/>
          <w:lang w:val="es-CO"/>
        </w:rPr>
        <w:t>Doctora</w:t>
      </w:r>
    </w:p>
    <w:p w14:paraId="3A507D8A" w14:textId="77777777" w:rsidR="002865FE" w:rsidRPr="001B7AA9" w:rsidRDefault="002865FE" w:rsidP="001B7AA9">
      <w:pPr>
        <w:jc w:val="both"/>
        <w:rPr>
          <w:rFonts w:ascii="Arial" w:hAnsi="Arial" w:cs="Arial"/>
          <w:b/>
          <w:bCs/>
          <w:sz w:val="22"/>
          <w:szCs w:val="22"/>
          <w:lang w:val="es-CO"/>
        </w:rPr>
      </w:pPr>
      <w:r w:rsidRPr="001B7AA9">
        <w:rPr>
          <w:rFonts w:ascii="Arial" w:hAnsi="Arial" w:cs="Arial"/>
          <w:b/>
          <w:bCs/>
          <w:sz w:val="22"/>
          <w:szCs w:val="22"/>
          <w:lang w:val="es-CO"/>
        </w:rPr>
        <w:t>MARÍA DORIAN ÁLVAREZ</w:t>
      </w:r>
    </w:p>
    <w:p w14:paraId="3CECED60" w14:textId="77777777" w:rsidR="002865FE" w:rsidRPr="001B7AA9" w:rsidRDefault="002865FE" w:rsidP="001B7AA9">
      <w:pPr>
        <w:jc w:val="both"/>
        <w:rPr>
          <w:rFonts w:ascii="Arial" w:hAnsi="Arial" w:cs="Arial"/>
          <w:sz w:val="22"/>
          <w:szCs w:val="22"/>
          <w:lang w:val="es-CO"/>
        </w:rPr>
      </w:pPr>
      <w:r w:rsidRPr="001B7AA9">
        <w:rPr>
          <w:rFonts w:ascii="Arial" w:hAnsi="Arial" w:cs="Arial"/>
          <w:sz w:val="22"/>
          <w:szCs w:val="22"/>
          <w:lang w:val="es-CO"/>
        </w:rPr>
        <w:t>Magistrada Ponente</w:t>
      </w:r>
    </w:p>
    <w:p w14:paraId="685B5856" w14:textId="77777777" w:rsidR="002865FE" w:rsidRPr="001B7AA9" w:rsidRDefault="002865FE" w:rsidP="001B7AA9">
      <w:pPr>
        <w:jc w:val="both"/>
        <w:rPr>
          <w:rFonts w:ascii="Arial" w:hAnsi="Arial" w:cs="Arial"/>
          <w:sz w:val="22"/>
          <w:szCs w:val="22"/>
          <w:lang w:val="es-CO"/>
        </w:rPr>
      </w:pPr>
      <w:r w:rsidRPr="001B7AA9">
        <w:rPr>
          <w:rFonts w:ascii="Arial" w:hAnsi="Arial" w:cs="Arial"/>
          <w:sz w:val="22"/>
          <w:szCs w:val="22"/>
          <w:lang w:val="es-CO"/>
        </w:rPr>
        <w:t>Sala de Decisión Laboral</w:t>
      </w:r>
    </w:p>
    <w:p w14:paraId="1358BAA1" w14:textId="77777777" w:rsidR="002865FE" w:rsidRPr="001B7AA9" w:rsidRDefault="002865FE" w:rsidP="001B7AA9">
      <w:pPr>
        <w:jc w:val="both"/>
        <w:rPr>
          <w:rFonts w:ascii="Arial" w:hAnsi="Arial" w:cs="Arial"/>
          <w:sz w:val="22"/>
          <w:szCs w:val="22"/>
          <w:lang w:val="es-CO"/>
        </w:rPr>
      </w:pPr>
      <w:r w:rsidRPr="001B7AA9">
        <w:rPr>
          <w:rFonts w:ascii="Arial" w:hAnsi="Arial" w:cs="Arial"/>
          <w:sz w:val="22"/>
          <w:szCs w:val="22"/>
          <w:lang w:val="es-CO"/>
        </w:rPr>
        <w:t>Tribunal Superior de Distrito Judicial</w:t>
      </w:r>
    </w:p>
    <w:p w14:paraId="4DFC6EBB" w14:textId="77777777" w:rsidR="002865FE" w:rsidRPr="001B7AA9" w:rsidRDefault="002865FE" w:rsidP="001B7AA9">
      <w:pPr>
        <w:jc w:val="both"/>
        <w:rPr>
          <w:rFonts w:ascii="Arial" w:hAnsi="Arial" w:cs="Arial"/>
          <w:sz w:val="22"/>
          <w:szCs w:val="22"/>
          <w:lang w:val="es-CO"/>
        </w:rPr>
      </w:pPr>
      <w:hyperlink r:id="rId8" w:history="1">
        <w:r w:rsidRPr="001B7AA9">
          <w:rPr>
            <w:rStyle w:val="Hipervnculo"/>
            <w:rFonts w:ascii="Arial" w:hAnsi="Arial" w:cs="Arial"/>
            <w:sz w:val="22"/>
            <w:szCs w:val="22"/>
          </w:rPr>
          <w:t>secsalalab@cendoj.ramajudicial.gov.co</w:t>
        </w:r>
      </w:hyperlink>
      <w:r w:rsidRPr="001B7AA9">
        <w:rPr>
          <w:rFonts w:ascii="Arial" w:hAnsi="Arial" w:cs="Arial"/>
          <w:color w:val="0000FF"/>
          <w:sz w:val="22"/>
          <w:szCs w:val="22"/>
        </w:rPr>
        <w:t xml:space="preserve"> </w:t>
      </w:r>
    </w:p>
    <w:p w14:paraId="6830D745" w14:textId="77777777" w:rsidR="002865FE" w:rsidRPr="001B7AA9" w:rsidRDefault="002865FE" w:rsidP="001B7AA9">
      <w:pPr>
        <w:jc w:val="both"/>
        <w:rPr>
          <w:rFonts w:ascii="Arial" w:hAnsi="Arial" w:cs="Arial"/>
          <w:sz w:val="22"/>
          <w:szCs w:val="22"/>
          <w:lang w:val="es-CO"/>
        </w:rPr>
      </w:pPr>
      <w:r w:rsidRPr="001B7AA9">
        <w:rPr>
          <w:rFonts w:ascii="Arial" w:hAnsi="Arial" w:cs="Arial"/>
          <w:sz w:val="22"/>
          <w:szCs w:val="22"/>
          <w:lang w:val="es-CO"/>
        </w:rPr>
        <w:t>Manizales</w:t>
      </w:r>
    </w:p>
    <w:p w14:paraId="34BF5C04" w14:textId="77777777" w:rsidR="002865FE" w:rsidRPr="001B7AA9" w:rsidRDefault="002865FE" w:rsidP="001B7AA9">
      <w:pPr>
        <w:jc w:val="both"/>
        <w:rPr>
          <w:rFonts w:ascii="Arial" w:hAnsi="Arial" w:cs="Arial"/>
          <w:sz w:val="22"/>
          <w:szCs w:val="22"/>
          <w:lang w:val="es-CO"/>
        </w:rPr>
      </w:pPr>
    </w:p>
    <w:p w14:paraId="2C39D926" w14:textId="77777777" w:rsidR="002865FE" w:rsidRPr="001B7AA9" w:rsidRDefault="002865FE" w:rsidP="001B7AA9">
      <w:pPr>
        <w:ind w:left="708"/>
        <w:jc w:val="both"/>
        <w:rPr>
          <w:rFonts w:ascii="Arial" w:hAnsi="Arial" w:cs="Arial"/>
          <w:sz w:val="22"/>
          <w:szCs w:val="22"/>
          <w:lang w:val="es-CO"/>
        </w:rPr>
      </w:pPr>
    </w:p>
    <w:p w14:paraId="424C5C86" w14:textId="77777777" w:rsidR="002865FE" w:rsidRPr="001B7AA9" w:rsidRDefault="002865FE" w:rsidP="001B7AA9">
      <w:pPr>
        <w:ind w:left="1416" w:firstLine="708"/>
        <w:jc w:val="both"/>
        <w:rPr>
          <w:rFonts w:ascii="Arial" w:hAnsi="Arial" w:cs="Arial"/>
          <w:sz w:val="22"/>
          <w:szCs w:val="22"/>
          <w:lang w:val="es-CO"/>
        </w:rPr>
      </w:pPr>
      <w:r w:rsidRPr="001B7AA9">
        <w:rPr>
          <w:rFonts w:ascii="Arial" w:hAnsi="Arial" w:cs="Arial"/>
          <w:sz w:val="22"/>
          <w:szCs w:val="22"/>
          <w:lang w:val="es-CO"/>
        </w:rPr>
        <w:t>Asunto:</w:t>
      </w:r>
      <w:r w:rsidRPr="001B7AA9">
        <w:rPr>
          <w:rFonts w:ascii="Arial" w:hAnsi="Arial" w:cs="Arial"/>
          <w:sz w:val="22"/>
          <w:szCs w:val="22"/>
          <w:lang w:val="es-CO"/>
        </w:rPr>
        <w:tab/>
        <w:t>Contestación acción de tutela</w:t>
      </w:r>
    </w:p>
    <w:p w14:paraId="068652BB" w14:textId="77777777" w:rsidR="002865FE" w:rsidRPr="001B7AA9" w:rsidRDefault="002865FE" w:rsidP="001B7AA9">
      <w:pPr>
        <w:pStyle w:val="Default"/>
        <w:ind w:left="1416" w:firstLine="708"/>
        <w:rPr>
          <w:rFonts w:ascii="Arial" w:hAnsi="Arial" w:cs="Arial"/>
          <w:sz w:val="22"/>
          <w:szCs w:val="22"/>
          <w:lang w:eastAsia="es-CO"/>
        </w:rPr>
      </w:pPr>
      <w:r w:rsidRPr="001B7AA9">
        <w:rPr>
          <w:rFonts w:ascii="Arial" w:hAnsi="Arial" w:cs="Arial"/>
          <w:sz w:val="22"/>
          <w:szCs w:val="22"/>
          <w:lang w:val="es-ES"/>
        </w:rPr>
        <w:t>Radicado:</w:t>
      </w:r>
      <w:r w:rsidRPr="001B7AA9">
        <w:rPr>
          <w:rFonts w:ascii="Arial" w:hAnsi="Arial" w:cs="Arial"/>
          <w:sz w:val="22"/>
          <w:szCs w:val="22"/>
        </w:rPr>
        <w:tab/>
      </w:r>
      <w:r w:rsidRPr="001B7AA9">
        <w:rPr>
          <w:rFonts w:ascii="Arial" w:hAnsi="Arial" w:cs="Arial"/>
          <w:sz w:val="22"/>
          <w:szCs w:val="22"/>
          <w:lang w:eastAsia="es-CO"/>
        </w:rPr>
        <w:t>17001-22-05-000-2025-10014-00 (T1-320)</w:t>
      </w:r>
    </w:p>
    <w:p w14:paraId="6A207F70" w14:textId="77777777" w:rsidR="002865FE" w:rsidRPr="001B7AA9" w:rsidRDefault="002865FE" w:rsidP="001B7AA9">
      <w:pPr>
        <w:pStyle w:val="Default"/>
        <w:ind w:left="1416" w:firstLine="708"/>
        <w:rPr>
          <w:rFonts w:ascii="Arial" w:hAnsi="Arial" w:cs="Arial"/>
          <w:sz w:val="22"/>
          <w:szCs w:val="22"/>
        </w:rPr>
      </w:pPr>
      <w:r w:rsidRPr="001B7AA9">
        <w:rPr>
          <w:rFonts w:ascii="Arial" w:hAnsi="Arial" w:cs="Arial"/>
          <w:sz w:val="22"/>
          <w:szCs w:val="22"/>
          <w:lang w:val="es-ES"/>
        </w:rPr>
        <w:t>Accionante:</w:t>
      </w:r>
      <w:r w:rsidRPr="001B7AA9">
        <w:rPr>
          <w:rFonts w:ascii="Arial" w:hAnsi="Arial" w:cs="Arial"/>
          <w:sz w:val="22"/>
          <w:szCs w:val="22"/>
        </w:rPr>
        <w:tab/>
        <w:t>Duván Alfonso Velásquez Rendón</w:t>
      </w:r>
    </w:p>
    <w:p w14:paraId="7BC5CBAB" w14:textId="77777777" w:rsidR="002865FE" w:rsidRPr="001B7AA9" w:rsidRDefault="002865FE" w:rsidP="001B7AA9">
      <w:pPr>
        <w:pStyle w:val="Default"/>
        <w:ind w:left="3540" w:hanging="1416"/>
        <w:rPr>
          <w:rFonts w:ascii="Arial" w:hAnsi="Arial" w:cs="Arial"/>
          <w:sz w:val="22"/>
          <w:szCs w:val="22"/>
          <w:lang w:eastAsia="es-CO"/>
        </w:rPr>
      </w:pPr>
      <w:r w:rsidRPr="001B7AA9">
        <w:rPr>
          <w:rFonts w:ascii="Arial" w:hAnsi="Arial" w:cs="Arial"/>
          <w:sz w:val="22"/>
          <w:szCs w:val="22"/>
          <w:lang w:val="es-ES"/>
        </w:rPr>
        <w:t>Accionados:</w:t>
      </w:r>
      <w:r w:rsidRPr="001B7AA9">
        <w:rPr>
          <w:rFonts w:ascii="Arial" w:hAnsi="Arial" w:cs="Arial"/>
          <w:sz w:val="22"/>
          <w:szCs w:val="22"/>
        </w:rPr>
        <w:tab/>
      </w:r>
      <w:r w:rsidRPr="001B7AA9">
        <w:rPr>
          <w:rFonts w:ascii="Arial" w:hAnsi="Arial" w:cs="Arial"/>
          <w:sz w:val="22"/>
          <w:szCs w:val="22"/>
          <w:lang w:eastAsia="es-CO"/>
        </w:rPr>
        <w:t>Juzgado Primero Laboral Circuito de Manizales Rama Judicial – Consejo Seccional de la Judicatura de Caldas</w:t>
      </w:r>
    </w:p>
    <w:p w14:paraId="6E23531C" w14:textId="77777777" w:rsidR="002865FE" w:rsidRPr="001B7AA9" w:rsidRDefault="002865FE" w:rsidP="001B7AA9">
      <w:pPr>
        <w:jc w:val="both"/>
        <w:rPr>
          <w:rFonts w:ascii="Arial" w:hAnsi="Arial" w:cs="Arial"/>
          <w:sz w:val="22"/>
          <w:szCs w:val="22"/>
          <w:lang w:val="es-CO"/>
        </w:rPr>
      </w:pPr>
    </w:p>
    <w:p w14:paraId="5C3839E7" w14:textId="77777777" w:rsidR="002865FE" w:rsidRPr="001B7AA9" w:rsidRDefault="002865FE" w:rsidP="001B7AA9">
      <w:pPr>
        <w:jc w:val="both"/>
        <w:rPr>
          <w:rFonts w:ascii="Arial" w:hAnsi="Arial" w:cs="Arial"/>
          <w:sz w:val="22"/>
          <w:szCs w:val="22"/>
          <w:lang w:val="es-CO"/>
        </w:rPr>
      </w:pPr>
    </w:p>
    <w:p w14:paraId="74123FF0" w14:textId="3DC89C5A" w:rsidR="002865FE" w:rsidRPr="001B7AA9" w:rsidRDefault="002865FE" w:rsidP="001B7AA9">
      <w:pPr>
        <w:tabs>
          <w:tab w:val="left" w:pos="2280"/>
        </w:tabs>
        <w:jc w:val="both"/>
        <w:rPr>
          <w:rFonts w:ascii="Arial" w:eastAsia="Calibri" w:hAnsi="Arial" w:cs="Arial"/>
          <w:sz w:val="22"/>
          <w:szCs w:val="22"/>
        </w:rPr>
      </w:pPr>
      <w:r w:rsidRPr="001B7AA9">
        <w:rPr>
          <w:rFonts w:ascii="Arial" w:eastAsia="Calibri" w:hAnsi="Arial" w:cs="Arial"/>
          <w:b/>
          <w:bCs/>
          <w:sz w:val="22"/>
          <w:szCs w:val="22"/>
        </w:rPr>
        <w:t>VICTORIA EUGENIA VELÁSQUEZ MARÍN</w:t>
      </w:r>
      <w:r w:rsidRPr="001B7AA9">
        <w:rPr>
          <w:rFonts w:ascii="Arial" w:eastAsia="Calibri" w:hAnsi="Arial" w:cs="Arial"/>
          <w:sz w:val="22"/>
          <w:szCs w:val="22"/>
        </w:rPr>
        <w:t xml:space="preserve"> en mi calidad de presidente del Consejo Seccional de la Judicatura de Caldas, me permito ejercer el derecho de defensa y contradicción frente a la acción de tutela de la referencia, que nos fue notificada el 5 de junio de 2025, </w:t>
      </w:r>
      <w:r w:rsidR="00B21C83" w:rsidRPr="001B7AA9">
        <w:rPr>
          <w:rFonts w:ascii="Arial" w:eastAsia="Calibri" w:hAnsi="Arial" w:cs="Arial"/>
          <w:sz w:val="22"/>
          <w:szCs w:val="22"/>
        </w:rPr>
        <w:t xml:space="preserve">código interno de radicación </w:t>
      </w:r>
      <w:r w:rsidR="00602590" w:rsidRPr="001B7AA9">
        <w:rPr>
          <w:rFonts w:ascii="Arial" w:hAnsi="Arial" w:cs="Arial"/>
          <w:color w:val="000000"/>
          <w:sz w:val="22"/>
          <w:szCs w:val="22"/>
          <w:shd w:val="clear" w:color="auto" w:fill="FFFFFF"/>
        </w:rPr>
        <w:t>EXTCSJCA25-2776</w:t>
      </w:r>
      <w:r w:rsidR="00602590" w:rsidRPr="001B7AA9">
        <w:rPr>
          <w:rFonts w:ascii="Arial" w:hAnsi="Arial" w:cs="Arial"/>
          <w:color w:val="000000"/>
          <w:sz w:val="22"/>
          <w:szCs w:val="22"/>
          <w:shd w:val="clear" w:color="auto" w:fill="FFFFFF"/>
        </w:rPr>
        <w:t xml:space="preserve">, </w:t>
      </w:r>
      <w:r w:rsidRPr="001B7AA9">
        <w:rPr>
          <w:rFonts w:ascii="Arial" w:eastAsia="Calibri" w:hAnsi="Arial" w:cs="Arial"/>
          <w:sz w:val="22"/>
          <w:szCs w:val="22"/>
        </w:rPr>
        <w:t>en los siguientes términos:</w:t>
      </w:r>
    </w:p>
    <w:p w14:paraId="388C9026" w14:textId="77777777" w:rsidR="00EC3158" w:rsidRPr="001B7AA9" w:rsidRDefault="00EC3158" w:rsidP="001B7AA9">
      <w:pPr>
        <w:autoSpaceDE w:val="0"/>
        <w:autoSpaceDN w:val="0"/>
        <w:adjustRightInd w:val="0"/>
        <w:jc w:val="both"/>
        <w:rPr>
          <w:rFonts w:ascii="Arial" w:eastAsia="Calibri" w:hAnsi="Arial" w:cs="Arial"/>
          <w:sz w:val="22"/>
          <w:szCs w:val="22"/>
        </w:rPr>
      </w:pPr>
    </w:p>
    <w:p w14:paraId="584CCF5A" w14:textId="0F731ABB" w:rsidR="002865FE" w:rsidRPr="001B7AA9" w:rsidRDefault="002865FE" w:rsidP="001B7AA9">
      <w:pPr>
        <w:pStyle w:val="Prrafodelista"/>
        <w:numPr>
          <w:ilvl w:val="0"/>
          <w:numId w:val="1"/>
        </w:numPr>
        <w:autoSpaceDE w:val="0"/>
        <w:autoSpaceDN w:val="0"/>
        <w:adjustRightInd w:val="0"/>
        <w:jc w:val="both"/>
        <w:rPr>
          <w:rFonts w:ascii="Arial" w:hAnsi="Arial" w:cs="Arial"/>
          <w:b/>
          <w:bCs/>
          <w:color w:val="000000"/>
          <w:sz w:val="22"/>
          <w:szCs w:val="22"/>
          <w:lang w:val="es-CO" w:eastAsia="es-CO"/>
        </w:rPr>
      </w:pPr>
      <w:r w:rsidRPr="001B7AA9">
        <w:rPr>
          <w:rFonts w:ascii="Arial" w:hAnsi="Arial" w:cs="Arial"/>
          <w:b/>
          <w:bCs/>
          <w:color w:val="000000"/>
          <w:sz w:val="22"/>
          <w:szCs w:val="22"/>
          <w:lang w:val="es-CO" w:eastAsia="es-CO"/>
        </w:rPr>
        <w:t xml:space="preserve">Sobre los hechos </w:t>
      </w:r>
      <w:r w:rsidR="00847324" w:rsidRPr="001B7AA9">
        <w:rPr>
          <w:rFonts w:ascii="Arial" w:hAnsi="Arial" w:cs="Arial"/>
          <w:b/>
          <w:bCs/>
          <w:color w:val="000000"/>
          <w:sz w:val="22"/>
          <w:szCs w:val="22"/>
          <w:lang w:val="es-CO" w:eastAsia="es-CO"/>
        </w:rPr>
        <w:t xml:space="preserve">y pretensiones </w:t>
      </w:r>
      <w:r w:rsidRPr="001B7AA9">
        <w:rPr>
          <w:rFonts w:ascii="Arial" w:hAnsi="Arial" w:cs="Arial"/>
          <w:b/>
          <w:bCs/>
          <w:color w:val="000000"/>
          <w:sz w:val="22"/>
          <w:szCs w:val="22"/>
          <w:lang w:val="es-CO" w:eastAsia="es-CO"/>
        </w:rPr>
        <w:t>de la tutela:</w:t>
      </w:r>
    </w:p>
    <w:p w14:paraId="15BB9F1E" w14:textId="77777777" w:rsidR="002865FE" w:rsidRPr="001B7AA9" w:rsidRDefault="002865FE" w:rsidP="001B7AA9">
      <w:pPr>
        <w:autoSpaceDE w:val="0"/>
        <w:autoSpaceDN w:val="0"/>
        <w:adjustRightInd w:val="0"/>
        <w:jc w:val="both"/>
        <w:rPr>
          <w:rFonts w:ascii="Arial" w:hAnsi="Arial" w:cs="Arial"/>
          <w:color w:val="000000"/>
          <w:sz w:val="22"/>
          <w:szCs w:val="22"/>
          <w:lang w:val="es-CO" w:eastAsia="es-CO"/>
        </w:rPr>
      </w:pPr>
    </w:p>
    <w:p w14:paraId="4800ECE5" w14:textId="52846D54" w:rsidR="001631F9" w:rsidRPr="001B7AA9" w:rsidRDefault="002865FE" w:rsidP="001B7AA9">
      <w:pPr>
        <w:autoSpaceDE w:val="0"/>
        <w:autoSpaceDN w:val="0"/>
        <w:adjustRightInd w:val="0"/>
        <w:jc w:val="both"/>
        <w:rPr>
          <w:rFonts w:ascii="Arial" w:hAnsi="Arial" w:cs="Arial"/>
          <w:color w:val="000000"/>
          <w:sz w:val="22"/>
          <w:szCs w:val="22"/>
          <w:lang w:val="es-CO" w:eastAsia="es-CO"/>
        </w:rPr>
      </w:pPr>
      <w:r w:rsidRPr="001B7AA9">
        <w:rPr>
          <w:rFonts w:ascii="Arial" w:hAnsi="Arial" w:cs="Arial"/>
          <w:color w:val="000000"/>
          <w:sz w:val="22"/>
          <w:szCs w:val="22"/>
          <w:lang w:val="es-CO" w:eastAsia="es-CO"/>
        </w:rPr>
        <w:t xml:space="preserve">Este Consejo Seccional de la Judicatura </w:t>
      </w:r>
      <w:r w:rsidR="0000599C" w:rsidRPr="001B7AA9">
        <w:rPr>
          <w:rFonts w:ascii="Arial" w:hAnsi="Arial" w:cs="Arial"/>
          <w:color w:val="000000"/>
          <w:sz w:val="22"/>
          <w:szCs w:val="22"/>
          <w:lang w:val="es-CO" w:eastAsia="es-CO"/>
        </w:rPr>
        <w:t xml:space="preserve">informa </w:t>
      </w:r>
      <w:r w:rsidR="00DA1B1E" w:rsidRPr="001B7AA9">
        <w:rPr>
          <w:rFonts w:ascii="Arial" w:hAnsi="Arial" w:cs="Arial"/>
          <w:color w:val="000000"/>
          <w:sz w:val="22"/>
          <w:szCs w:val="22"/>
          <w:lang w:val="es-CO" w:eastAsia="es-CO"/>
        </w:rPr>
        <w:t xml:space="preserve">que </w:t>
      </w:r>
      <w:r w:rsidRPr="001B7AA9">
        <w:rPr>
          <w:rFonts w:ascii="Arial" w:hAnsi="Arial" w:cs="Arial"/>
          <w:color w:val="000000"/>
          <w:sz w:val="22"/>
          <w:szCs w:val="22"/>
          <w:lang w:val="es-CO" w:eastAsia="es-CO"/>
        </w:rPr>
        <w:t xml:space="preserve">no tiene conocimiento de los hechos expuestos por el señor Duván Alfonso Velásquez Rendón, </w:t>
      </w:r>
      <w:r w:rsidR="00DA1B1E" w:rsidRPr="001B7AA9">
        <w:rPr>
          <w:rFonts w:ascii="Arial" w:hAnsi="Arial" w:cs="Arial"/>
          <w:color w:val="000000"/>
          <w:sz w:val="22"/>
          <w:szCs w:val="22"/>
          <w:lang w:val="es-CO" w:eastAsia="es-CO"/>
        </w:rPr>
        <w:t>relacionados con</w:t>
      </w:r>
      <w:r w:rsidR="003B4E17" w:rsidRPr="001B7AA9">
        <w:rPr>
          <w:rFonts w:ascii="Arial" w:hAnsi="Arial" w:cs="Arial"/>
          <w:color w:val="000000"/>
          <w:sz w:val="22"/>
          <w:szCs w:val="22"/>
          <w:lang w:val="es-CO" w:eastAsia="es-CO"/>
        </w:rPr>
        <w:t xml:space="preserve"> </w:t>
      </w:r>
      <w:r w:rsidRPr="001B7AA9">
        <w:rPr>
          <w:rFonts w:ascii="Arial" w:hAnsi="Arial" w:cs="Arial"/>
          <w:color w:val="000000"/>
          <w:sz w:val="22"/>
          <w:szCs w:val="22"/>
          <w:lang w:val="es-CO" w:eastAsia="es-CO"/>
        </w:rPr>
        <w:t>la publicación del proceso</w:t>
      </w:r>
      <w:r w:rsidR="0058039B">
        <w:rPr>
          <w:rFonts w:ascii="Arial" w:hAnsi="Arial" w:cs="Arial"/>
          <w:color w:val="000000"/>
          <w:sz w:val="22"/>
          <w:szCs w:val="22"/>
          <w:lang w:val="es-CO" w:eastAsia="es-CO"/>
        </w:rPr>
        <w:t xml:space="preserve"> laboral</w:t>
      </w:r>
      <w:r w:rsidRPr="001B7AA9">
        <w:rPr>
          <w:rFonts w:ascii="Arial" w:hAnsi="Arial" w:cs="Arial"/>
          <w:color w:val="000000"/>
          <w:sz w:val="22"/>
          <w:szCs w:val="22"/>
          <w:lang w:val="es-CO" w:eastAsia="es-CO"/>
        </w:rPr>
        <w:t xml:space="preserve"> </w:t>
      </w:r>
      <w:r w:rsidR="00B572C0" w:rsidRPr="001B7AA9">
        <w:rPr>
          <w:rFonts w:ascii="Arial" w:hAnsi="Arial" w:cs="Arial"/>
          <w:color w:val="000000"/>
          <w:sz w:val="22"/>
          <w:szCs w:val="22"/>
          <w:lang w:val="es-CO" w:eastAsia="es-CO"/>
        </w:rPr>
        <w:t>identificado con el</w:t>
      </w:r>
      <w:r w:rsidRPr="001B7AA9">
        <w:rPr>
          <w:rFonts w:ascii="Arial" w:hAnsi="Arial" w:cs="Arial"/>
          <w:color w:val="000000"/>
          <w:sz w:val="22"/>
          <w:szCs w:val="22"/>
          <w:lang w:val="es-CO" w:eastAsia="es-CO"/>
        </w:rPr>
        <w:t xml:space="preserve"> radicado 2016-00269</w:t>
      </w:r>
      <w:r w:rsidR="00CC2F5F">
        <w:rPr>
          <w:rFonts w:ascii="Arial" w:hAnsi="Arial" w:cs="Arial"/>
          <w:color w:val="000000"/>
          <w:sz w:val="22"/>
          <w:szCs w:val="22"/>
          <w:lang w:val="es-CO" w:eastAsia="es-CO"/>
        </w:rPr>
        <w:t>,</w:t>
      </w:r>
      <w:r w:rsidRPr="001B7AA9">
        <w:rPr>
          <w:rFonts w:ascii="Arial" w:hAnsi="Arial" w:cs="Arial"/>
          <w:color w:val="000000"/>
          <w:sz w:val="22"/>
          <w:szCs w:val="22"/>
          <w:lang w:val="es-CO" w:eastAsia="es-CO"/>
        </w:rPr>
        <w:t xml:space="preserve"> en la sección “Consulta procesos” de la página web de la Rama Judicial</w:t>
      </w:r>
      <w:r w:rsidR="00A81881">
        <w:rPr>
          <w:rFonts w:ascii="Arial" w:hAnsi="Arial" w:cs="Arial"/>
          <w:color w:val="000000"/>
          <w:sz w:val="22"/>
          <w:szCs w:val="22"/>
          <w:lang w:val="es-CO" w:eastAsia="es-CO"/>
        </w:rPr>
        <w:t xml:space="preserve"> y</w:t>
      </w:r>
      <w:r w:rsidR="00D85530" w:rsidRPr="001B7AA9">
        <w:rPr>
          <w:rFonts w:ascii="Arial" w:hAnsi="Arial" w:cs="Arial"/>
          <w:color w:val="000000"/>
          <w:sz w:val="22"/>
          <w:szCs w:val="22"/>
          <w:lang w:val="es-CO" w:eastAsia="es-CO"/>
        </w:rPr>
        <w:t xml:space="preserve"> tampoco ha recibido información sobre</w:t>
      </w:r>
      <w:r w:rsidRPr="001B7AA9">
        <w:rPr>
          <w:rFonts w:ascii="Arial" w:hAnsi="Arial" w:cs="Arial"/>
          <w:color w:val="000000"/>
          <w:sz w:val="22"/>
          <w:szCs w:val="22"/>
          <w:lang w:val="es-CO" w:eastAsia="es-CO"/>
        </w:rPr>
        <w:t xml:space="preserve"> las dificultades que dicha publicación le ha </w:t>
      </w:r>
      <w:r w:rsidR="00843B3F" w:rsidRPr="001B7AA9">
        <w:rPr>
          <w:rFonts w:ascii="Arial" w:hAnsi="Arial" w:cs="Arial"/>
          <w:color w:val="000000"/>
          <w:sz w:val="22"/>
          <w:szCs w:val="22"/>
          <w:lang w:val="es-CO" w:eastAsia="es-CO"/>
        </w:rPr>
        <w:t xml:space="preserve">generado al señor Velásquez Rendón, </w:t>
      </w:r>
      <w:r w:rsidRPr="001B7AA9">
        <w:rPr>
          <w:rFonts w:ascii="Arial" w:hAnsi="Arial" w:cs="Arial"/>
          <w:color w:val="000000"/>
          <w:sz w:val="22"/>
          <w:szCs w:val="22"/>
          <w:lang w:val="es-CO" w:eastAsia="es-CO"/>
        </w:rPr>
        <w:t>para acceder a un empleo</w:t>
      </w:r>
      <w:r w:rsidR="001631F9" w:rsidRPr="001B7AA9">
        <w:rPr>
          <w:rFonts w:ascii="Arial" w:hAnsi="Arial" w:cs="Arial"/>
          <w:color w:val="000000"/>
          <w:sz w:val="22"/>
          <w:szCs w:val="22"/>
          <w:lang w:val="es-CO" w:eastAsia="es-CO"/>
        </w:rPr>
        <w:t>.</w:t>
      </w:r>
    </w:p>
    <w:p w14:paraId="54BB0770" w14:textId="77777777" w:rsidR="00C257CD" w:rsidRPr="001B7AA9" w:rsidRDefault="00C257CD" w:rsidP="001B7AA9">
      <w:pPr>
        <w:autoSpaceDE w:val="0"/>
        <w:autoSpaceDN w:val="0"/>
        <w:adjustRightInd w:val="0"/>
        <w:jc w:val="both"/>
        <w:rPr>
          <w:rFonts w:ascii="Arial" w:hAnsi="Arial" w:cs="Arial"/>
          <w:color w:val="000000"/>
          <w:sz w:val="22"/>
          <w:szCs w:val="22"/>
          <w:lang w:val="es-CO" w:eastAsia="es-CO"/>
        </w:rPr>
      </w:pPr>
    </w:p>
    <w:p w14:paraId="440F2DAC" w14:textId="58CB64F7" w:rsidR="002865FE" w:rsidRPr="001B7AA9" w:rsidRDefault="00EA069F" w:rsidP="001B7AA9">
      <w:pPr>
        <w:autoSpaceDE w:val="0"/>
        <w:autoSpaceDN w:val="0"/>
        <w:adjustRightInd w:val="0"/>
        <w:jc w:val="both"/>
        <w:rPr>
          <w:rFonts w:ascii="Arial" w:hAnsi="Arial" w:cs="Arial"/>
          <w:color w:val="000000"/>
          <w:sz w:val="22"/>
          <w:szCs w:val="22"/>
          <w:lang w:val="es-CO" w:eastAsia="es-CO"/>
        </w:rPr>
      </w:pPr>
      <w:r w:rsidRPr="001B7AA9">
        <w:rPr>
          <w:rFonts w:ascii="Arial" w:hAnsi="Arial" w:cs="Arial"/>
          <w:color w:val="000000"/>
          <w:sz w:val="22"/>
          <w:szCs w:val="22"/>
          <w:lang w:val="es-CO" w:eastAsia="es-CO"/>
        </w:rPr>
        <w:t xml:space="preserve">Frente a </w:t>
      </w:r>
      <w:r w:rsidR="00CC2F5F">
        <w:rPr>
          <w:rFonts w:ascii="Arial" w:hAnsi="Arial" w:cs="Arial"/>
          <w:color w:val="000000"/>
          <w:sz w:val="22"/>
          <w:szCs w:val="22"/>
          <w:lang w:val="es-CO" w:eastAsia="es-CO"/>
        </w:rPr>
        <w:t xml:space="preserve">la </w:t>
      </w:r>
      <w:r w:rsidR="00F54A46">
        <w:rPr>
          <w:rFonts w:ascii="Arial" w:hAnsi="Arial" w:cs="Arial"/>
          <w:color w:val="000000"/>
          <w:sz w:val="22"/>
          <w:szCs w:val="22"/>
          <w:lang w:val="es-CO" w:eastAsia="es-CO"/>
        </w:rPr>
        <w:t xml:space="preserve">pretensión </w:t>
      </w:r>
      <w:r w:rsidRPr="001B7AA9">
        <w:rPr>
          <w:rFonts w:ascii="Arial" w:hAnsi="Arial" w:cs="Arial"/>
          <w:color w:val="000000"/>
          <w:sz w:val="22"/>
          <w:szCs w:val="22"/>
          <w:lang w:val="es-CO" w:eastAsia="es-CO"/>
        </w:rPr>
        <w:t xml:space="preserve">de eliminación </w:t>
      </w:r>
      <w:r w:rsidR="00C257CD" w:rsidRPr="001B7AA9">
        <w:rPr>
          <w:rFonts w:ascii="Arial" w:hAnsi="Arial" w:cs="Arial"/>
          <w:color w:val="000000"/>
          <w:sz w:val="22"/>
          <w:szCs w:val="22"/>
          <w:lang w:val="es-CO" w:eastAsia="es-CO"/>
        </w:rPr>
        <w:t xml:space="preserve">de </w:t>
      </w:r>
      <w:r w:rsidR="004844FC">
        <w:rPr>
          <w:rFonts w:ascii="Arial" w:hAnsi="Arial" w:cs="Arial"/>
          <w:color w:val="000000"/>
          <w:sz w:val="22"/>
          <w:szCs w:val="22"/>
          <w:lang w:val="es-CO" w:eastAsia="es-CO"/>
        </w:rPr>
        <w:t>los</w:t>
      </w:r>
      <w:r w:rsidR="00C257CD" w:rsidRPr="001B7AA9">
        <w:rPr>
          <w:rFonts w:ascii="Arial" w:hAnsi="Arial" w:cs="Arial"/>
          <w:color w:val="000000"/>
          <w:sz w:val="22"/>
          <w:szCs w:val="22"/>
          <w:lang w:val="es-CO" w:eastAsia="es-CO"/>
        </w:rPr>
        <w:t xml:space="preserve"> datos personales</w:t>
      </w:r>
      <w:r w:rsidR="004844FC">
        <w:rPr>
          <w:rFonts w:ascii="Arial" w:hAnsi="Arial" w:cs="Arial"/>
          <w:color w:val="000000"/>
          <w:sz w:val="22"/>
          <w:szCs w:val="22"/>
          <w:lang w:val="es-CO" w:eastAsia="es-CO"/>
        </w:rPr>
        <w:t xml:space="preserve"> del accionante</w:t>
      </w:r>
      <w:r w:rsidR="00061FDC" w:rsidRPr="001B7AA9">
        <w:rPr>
          <w:rFonts w:ascii="Arial" w:hAnsi="Arial" w:cs="Arial"/>
          <w:color w:val="000000"/>
          <w:sz w:val="22"/>
          <w:szCs w:val="22"/>
          <w:lang w:val="es-CO" w:eastAsia="es-CO"/>
        </w:rPr>
        <w:t xml:space="preserve"> mediante esta</w:t>
      </w:r>
      <w:r w:rsidR="00B932B1" w:rsidRPr="001B7AA9">
        <w:rPr>
          <w:rFonts w:ascii="Arial" w:hAnsi="Arial" w:cs="Arial"/>
          <w:color w:val="000000"/>
          <w:sz w:val="22"/>
          <w:szCs w:val="22"/>
          <w:lang w:val="es-CO" w:eastAsia="es-CO"/>
        </w:rPr>
        <w:t xml:space="preserve"> acción de tutela, </w:t>
      </w:r>
      <w:r w:rsidR="00061FDC" w:rsidRPr="001B7AA9">
        <w:rPr>
          <w:rFonts w:ascii="Arial" w:hAnsi="Arial" w:cs="Arial"/>
          <w:color w:val="000000"/>
          <w:sz w:val="22"/>
          <w:szCs w:val="22"/>
          <w:lang w:val="es-CO" w:eastAsia="es-CO"/>
        </w:rPr>
        <w:t>se precisa que las actuaciones procesales visibles en la “Consulta procesos”</w:t>
      </w:r>
      <w:r w:rsidR="00DD599A" w:rsidRPr="001B7AA9">
        <w:rPr>
          <w:rFonts w:ascii="Arial" w:hAnsi="Arial" w:cs="Arial"/>
          <w:color w:val="000000"/>
          <w:sz w:val="22"/>
          <w:szCs w:val="22"/>
          <w:lang w:val="es-CO" w:eastAsia="es-CO"/>
        </w:rPr>
        <w:t xml:space="preserve"> corresponden a los registros efectuados</w:t>
      </w:r>
      <w:r w:rsidR="001D6E8F" w:rsidRPr="001B7AA9">
        <w:rPr>
          <w:rFonts w:ascii="Arial" w:hAnsi="Arial" w:cs="Arial"/>
          <w:color w:val="000000"/>
          <w:sz w:val="22"/>
          <w:szCs w:val="22"/>
          <w:lang w:val="es-CO" w:eastAsia="es-CO"/>
        </w:rPr>
        <w:t xml:space="preserve"> </w:t>
      </w:r>
      <w:r w:rsidR="008066F3" w:rsidRPr="001B7AA9">
        <w:rPr>
          <w:rFonts w:ascii="Arial" w:hAnsi="Arial" w:cs="Arial"/>
          <w:color w:val="000000"/>
          <w:sz w:val="22"/>
          <w:szCs w:val="22"/>
          <w:lang w:val="es-CO" w:eastAsia="es-CO"/>
        </w:rPr>
        <w:t xml:space="preserve">en el </w:t>
      </w:r>
      <w:r w:rsidR="002865FE" w:rsidRPr="001B7AA9">
        <w:rPr>
          <w:rFonts w:ascii="Arial" w:hAnsi="Arial" w:cs="Arial"/>
          <w:i/>
          <w:iCs/>
          <w:color w:val="000000"/>
          <w:sz w:val="22"/>
          <w:szCs w:val="22"/>
          <w:lang w:val="es-CO" w:eastAsia="es-CO"/>
        </w:rPr>
        <w:t>Sistema de Información de Procesos y Manejo Documental Justicia XXI</w:t>
      </w:r>
      <w:r w:rsidR="006B440C" w:rsidRPr="001B7AA9">
        <w:rPr>
          <w:rFonts w:ascii="Arial" w:hAnsi="Arial" w:cs="Arial"/>
          <w:i/>
          <w:iCs/>
          <w:color w:val="000000"/>
          <w:sz w:val="22"/>
          <w:szCs w:val="22"/>
          <w:lang w:val="es-CO" w:eastAsia="es-CO"/>
        </w:rPr>
        <w:t xml:space="preserve">. </w:t>
      </w:r>
      <w:r w:rsidR="006B440C" w:rsidRPr="001B7AA9">
        <w:rPr>
          <w:rFonts w:ascii="Arial" w:hAnsi="Arial" w:cs="Arial"/>
          <w:color w:val="000000"/>
          <w:sz w:val="22"/>
          <w:szCs w:val="22"/>
          <w:lang w:val="es-CO" w:eastAsia="es-CO"/>
        </w:rPr>
        <w:t xml:space="preserve">Esta </w:t>
      </w:r>
      <w:r w:rsidR="002865FE" w:rsidRPr="001B7AA9">
        <w:rPr>
          <w:rFonts w:ascii="Arial" w:hAnsi="Arial" w:cs="Arial"/>
          <w:color w:val="000000"/>
          <w:sz w:val="22"/>
          <w:szCs w:val="22"/>
          <w:lang w:val="es-CO" w:eastAsia="es-CO"/>
        </w:rPr>
        <w:t xml:space="preserve">plataforma </w:t>
      </w:r>
      <w:r w:rsidR="006B440C" w:rsidRPr="001B7AA9">
        <w:rPr>
          <w:rFonts w:ascii="Arial" w:hAnsi="Arial" w:cs="Arial"/>
          <w:color w:val="000000"/>
          <w:sz w:val="22"/>
          <w:szCs w:val="22"/>
          <w:lang w:val="es-CO" w:eastAsia="es-CO"/>
        </w:rPr>
        <w:t xml:space="preserve">fue </w:t>
      </w:r>
      <w:r w:rsidR="002865FE" w:rsidRPr="001B7AA9">
        <w:rPr>
          <w:rFonts w:ascii="Arial" w:hAnsi="Arial" w:cs="Arial"/>
          <w:color w:val="000000"/>
          <w:sz w:val="22"/>
          <w:szCs w:val="22"/>
          <w:lang w:val="es-CO" w:eastAsia="es-CO"/>
        </w:rPr>
        <w:t>implementada en los despachos judiciales conforme a lo dispuesto en el Acuerdo 1591</w:t>
      </w:r>
      <w:r w:rsidR="002865FE" w:rsidRPr="001B7AA9">
        <w:rPr>
          <w:rStyle w:val="Refdenotaalpie"/>
          <w:rFonts w:ascii="Arial" w:hAnsi="Arial" w:cs="Arial"/>
          <w:color w:val="000000"/>
          <w:sz w:val="22"/>
          <w:szCs w:val="22"/>
          <w:lang w:val="es-CO" w:eastAsia="es-CO"/>
        </w:rPr>
        <w:footnoteReference w:id="1"/>
      </w:r>
      <w:r w:rsidR="002865FE" w:rsidRPr="001B7AA9">
        <w:rPr>
          <w:rFonts w:ascii="Arial" w:hAnsi="Arial" w:cs="Arial"/>
          <w:color w:val="000000"/>
          <w:sz w:val="22"/>
          <w:szCs w:val="22"/>
          <w:lang w:val="es-CO" w:eastAsia="es-CO"/>
        </w:rPr>
        <w:t xml:space="preserve"> del 24 de octubre de 2022 expedido por el Consejo Superior de la Judicatura.</w:t>
      </w:r>
    </w:p>
    <w:p w14:paraId="155800D2" w14:textId="77777777" w:rsidR="002865FE" w:rsidRPr="001B7AA9" w:rsidRDefault="002865FE" w:rsidP="001B7AA9">
      <w:pPr>
        <w:autoSpaceDE w:val="0"/>
        <w:autoSpaceDN w:val="0"/>
        <w:adjustRightInd w:val="0"/>
        <w:jc w:val="both"/>
        <w:rPr>
          <w:rFonts w:ascii="Arial" w:hAnsi="Arial" w:cs="Arial"/>
          <w:color w:val="000000"/>
          <w:sz w:val="22"/>
          <w:szCs w:val="22"/>
          <w:lang w:val="es-CO" w:eastAsia="es-CO"/>
        </w:rPr>
      </w:pPr>
    </w:p>
    <w:p w14:paraId="6C2429E4" w14:textId="453CE1E7" w:rsidR="002865FE" w:rsidRPr="001B7AA9" w:rsidRDefault="006B440C" w:rsidP="001B7AA9">
      <w:pPr>
        <w:autoSpaceDE w:val="0"/>
        <w:autoSpaceDN w:val="0"/>
        <w:adjustRightInd w:val="0"/>
        <w:jc w:val="both"/>
        <w:rPr>
          <w:rFonts w:ascii="Arial" w:hAnsi="Arial" w:cs="Arial"/>
          <w:color w:val="000000"/>
          <w:sz w:val="22"/>
          <w:szCs w:val="22"/>
          <w:lang w:val="es-CO" w:eastAsia="es-CO"/>
        </w:rPr>
      </w:pPr>
      <w:r w:rsidRPr="001B7AA9">
        <w:rPr>
          <w:rFonts w:ascii="Arial" w:hAnsi="Arial" w:cs="Arial"/>
          <w:color w:val="000000"/>
          <w:sz w:val="22"/>
          <w:szCs w:val="22"/>
          <w:lang w:val="es-CO" w:eastAsia="es-CO"/>
        </w:rPr>
        <w:t xml:space="preserve">Dicho </w:t>
      </w:r>
      <w:r w:rsidR="002865FE" w:rsidRPr="001B7AA9">
        <w:rPr>
          <w:rFonts w:ascii="Arial" w:hAnsi="Arial" w:cs="Arial"/>
          <w:color w:val="000000"/>
          <w:sz w:val="22"/>
          <w:szCs w:val="22"/>
          <w:lang w:val="es-CO" w:eastAsia="es-CO"/>
        </w:rPr>
        <w:t>Acuerdo establece que la Unidad de Informática -hoy Unidad de Transformación Digital e Informática</w:t>
      </w:r>
      <w:r w:rsidR="002865FE" w:rsidRPr="001B7AA9">
        <w:rPr>
          <w:rStyle w:val="Refdenotaalpie"/>
          <w:rFonts w:ascii="Arial" w:hAnsi="Arial" w:cs="Arial"/>
          <w:color w:val="000000"/>
          <w:sz w:val="22"/>
          <w:szCs w:val="22"/>
          <w:lang w:val="es-CO" w:eastAsia="es-CO"/>
        </w:rPr>
        <w:footnoteReference w:id="2"/>
      </w:r>
      <w:r w:rsidR="002865FE" w:rsidRPr="001B7AA9">
        <w:rPr>
          <w:rFonts w:ascii="Arial" w:hAnsi="Arial" w:cs="Arial"/>
          <w:color w:val="000000"/>
          <w:sz w:val="22"/>
          <w:szCs w:val="22"/>
          <w:lang w:val="es-CO" w:eastAsia="es-CO"/>
        </w:rPr>
        <w:t xml:space="preserve">- de la Dirección Ejecutiva de Administración Judicial, es la encargada de realizar el mantenimiento técnico y las actualizaciones de la plataforma </w:t>
      </w:r>
      <w:r w:rsidR="002865FE" w:rsidRPr="001B7AA9">
        <w:rPr>
          <w:rFonts w:ascii="Arial" w:hAnsi="Arial" w:cs="Arial"/>
          <w:i/>
          <w:iCs/>
          <w:color w:val="000000"/>
          <w:sz w:val="22"/>
          <w:szCs w:val="22"/>
          <w:lang w:val="es-CO" w:eastAsia="es-CO"/>
        </w:rPr>
        <w:t xml:space="preserve">Justicia XXI. </w:t>
      </w:r>
    </w:p>
    <w:p w14:paraId="4267F31C" w14:textId="77777777" w:rsidR="002865FE" w:rsidRPr="001B7AA9" w:rsidRDefault="002865FE" w:rsidP="001B7AA9">
      <w:pPr>
        <w:autoSpaceDE w:val="0"/>
        <w:autoSpaceDN w:val="0"/>
        <w:adjustRightInd w:val="0"/>
        <w:jc w:val="both"/>
        <w:rPr>
          <w:rFonts w:ascii="Arial" w:hAnsi="Arial" w:cs="Arial"/>
          <w:color w:val="000000"/>
          <w:sz w:val="22"/>
          <w:szCs w:val="22"/>
          <w:lang w:val="es-CO" w:eastAsia="es-CO"/>
        </w:rPr>
      </w:pPr>
    </w:p>
    <w:p w14:paraId="28E64693" w14:textId="717AEE15" w:rsidR="002865FE" w:rsidRPr="001B7AA9" w:rsidRDefault="00C87C32" w:rsidP="001B7AA9">
      <w:pPr>
        <w:autoSpaceDE w:val="0"/>
        <w:autoSpaceDN w:val="0"/>
        <w:adjustRightInd w:val="0"/>
        <w:jc w:val="both"/>
        <w:rPr>
          <w:rFonts w:ascii="Arial" w:hAnsi="Arial" w:cs="Arial"/>
          <w:color w:val="000000"/>
          <w:sz w:val="22"/>
          <w:szCs w:val="22"/>
          <w:lang w:val="es-CO" w:eastAsia="es-CO"/>
        </w:rPr>
      </w:pPr>
      <w:r w:rsidRPr="001B7AA9">
        <w:rPr>
          <w:rFonts w:ascii="Arial" w:hAnsi="Arial" w:cs="Arial"/>
          <w:color w:val="000000"/>
          <w:sz w:val="22"/>
          <w:szCs w:val="22"/>
          <w:lang w:val="es-CO" w:eastAsia="es-CO"/>
        </w:rPr>
        <w:t xml:space="preserve">Sin embargo, </w:t>
      </w:r>
      <w:r w:rsidR="0035416D" w:rsidRPr="001B7AA9">
        <w:rPr>
          <w:rFonts w:ascii="Arial" w:hAnsi="Arial" w:cs="Arial"/>
          <w:color w:val="000000"/>
          <w:sz w:val="22"/>
          <w:szCs w:val="22"/>
          <w:lang w:val="es-CO" w:eastAsia="es-CO"/>
        </w:rPr>
        <w:t>la utilización de la plataforma Justicia XXI</w:t>
      </w:r>
      <w:r w:rsidR="002865FE" w:rsidRPr="001B7AA9">
        <w:rPr>
          <w:rFonts w:ascii="Arial" w:hAnsi="Arial" w:cs="Arial"/>
          <w:color w:val="000000"/>
          <w:sz w:val="22"/>
          <w:szCs w:val="22"/>
          <w:lang w:val="es-CO" w:eastAsia="es-CO"/>
        </w:rPr>
        <w:t xml:space="preserve"> está a cargo de los servidores judiciales de los </w:t>
      </w:r>
      <w:r w:rsidR="008E0F52" w:rsidRPr="001B7AA9">
        <w:rPr>
          <w:rFonts w:ascii="Arial" w:hAnsi="Arial" w:cs="Arial"/>
          <w:color w:val="000000"/>
          <w:sz w:val="22"/>
          <w:szCs w:val="22"/>
          <w:lang w:val="es-CO" w:eastAsia="es-CO"/>
        </w:rPr>
        <w:t xml:space="preserve">respectivos </w:t>
      </w:r>
      <w:r w:rsidR="002865FE" w:rsidRPr="001B7AA9">
        <w:rPr>
          <w:rFonts w:ascii="Arial" w:hAnsi="Arial" w:cs="Arial"/>
          <w:color w:val="000000"/>
          <w:sz w:val="22"/>
          <w:szCs w:val="22"/>
          <w:lang w:val="es-CO" w:eastAsia="es-CO"/>
        </w:rPr>
        <w:t xml:space="preserve">despachos judiciales, quienes </w:t>
      </w:r>
      <w:r w:rsidR="008E0F52" w:rsidRPr="001B7AA9">
        <w:rPr>
          <w:rFonts w:ascii="Arial" w:hAnsi="Arial" w:cs="Arial"/>
          <w:color w:val="000000"/>
          <w:sz w:val="22"/>
          <w:szCs w:val="22"/>
          <w:lang w:val="es-CO" w:eastAsia="es-CO"/>
        </w:rPr>
        <w:t xml:space="preserve">son </w:t>
      </w:r>
      <w:r w:rsidR="00F55892">
        <w:rPr>
          <w:rFonts w:ascii="Arial" w:hAnsi="Arial" w:cs="Arial"/>
          <w:color w:val="000000"/>
          <w:sz w:val="22"/>
          <w:szCs w:val="22"/>
          <w:lang w:val="es-CO" w:eastAsia="es-CO"/>
        </w:rPr>
        <w:t xml:space="preserve">los </w:t>
      </w:r>
      <w:r w:rsidR="008E0F52" w:rsidRPr="001B7AA9">
        <w:rPr>
          <w:rFonts w:ascii="Arial" w:hAnsi="Arial" w:cs="Arial"/>
          <w:color w:val="000000"/>
          <w:sz w:val="22"/>
          <w:szCs w:val="22"/>
          <w:lang w:val="es-CO" w:eastAsia="es-CO"/>
        </w:rPr>
        <w:t>responsables de registrar las actuaciones procesales durante la vigencia del proceso, así como de utilizar las funciones del sistema, que incluyen el ocultamiento de datos, cuando así se disponga. Por esta razón, corresponde a los despachos judiciales atender</w:t>
      </w:r>
      <w:r w:rsidR="002865FE" w:rsidRPr="001B7AA9">
        <w:rPr>
          <w:rFonts w:ascii="Arial" w:hAnsi="Arial" w:cs="Arial"/>
          <w:color w:val="000000"/>
          <w:sz w:val="22"/>
          <w:szCs w:val="22"/>
          <w:lang w:val="es-CO" w:eastAsia="es-CO"/>
        </w:rPr>
        <w:t xml:space="preserve"> las solicitudes</w:t>
      </w:r>
      <w:r w:rsidR="00BB3491" w:rsidRPr="001B7AA9">
        <w:rPr>
          <w:rFonts w:ascii="Arial" w:hAnsi="Arial" w:cs="Arial"/>
          <w:color w:val="000000"/>
          <w:sz w:val="22"/>
          <w:szCs w:val="22"/>
          <w:lang w:val="es-CO" w:eastAsia="es-CO"/>
        </w:rPr>
        <w:t xml:space="preserve"> relacionadas con la publicación de información en la “Consulta procesos”</w:t>
      </w:r>
      <w:r w:rsidR="00157E15">
        <w:rPr>
          <w:rFonts w:ascii="Arial" w:hAnsi="Arial" w:cs="Arial"/>
          <w:color w:val="000000"/>
          <w:sz w:val="22"/>
          <w:szCs w:val="22"/>
          <w:lang w:val="es-CO" w:eastAsia="es-CO"/>
        </w:rPr>
        <w:t>,</w:t>
      </w:r>
      <w:r w:rsidR="00BB3491" w:rsidRPr="001B7AA9">
        <w:rPr>
          <w:rFonts w:ascii="Arial" w:hAnsi="Arial" w:cs="Arial"/>
          <w:color w:val="000000"/>
          <w:sz w:val="22"/>
          <w:szCs w:val="22"/>
          <w:lang w:val="es-CO" w:eastAsia="es-CO"/>
        </w:rPr>
        <w:t xml:space="preserve"> </w:t>
      </w:r>
      <w:r w:rsidR="002865FE" w:rsidRPr="001B7AA9">
        <w:rPr>
          <w:rFonts w:ascii="Arial" w:hAnsi="Arial" w:cs="Arial"/>
          <w:color w:val="000000"/>
          <w:sz w:val="22"/>
          <w:szCs w:val="22"/>
          <w:lang w:val="es-CO" w:eastAsia="es-CO"/>
        </w:rPr>
        <w:t>presentadas por los sujetos procesales</w:t>
      </w:r>
      <w:r w:rsidR="008D653C" w:rsidRPr="001B7AA9">
        <w:rPr>
          <w:rFonts w:ascii="Arial" w:hAnsi="Arial" w:cs="Arial"/>
          <w:color w:val="000000"/>
          <w:sz w:val="22"/>
          <w:szCs w:val="22"/>
          <w:lang w:val="es-CO" w:eastAsia="es-CO"/>
        </w:rPr>
        <w:t>.</w:t>
      </w:r>
    </w:p>
    <w:p w14:paraId="252E413B" w14:textId="77777777" w:rsidR="002865FE" w:rsidRPr="001B7AA9" w:rsidRDefault="002865FE" w:rsidP="001B7AA9">
      <w:pPr>
        <w:autoSpaceDE w:val="0"/>
        <w:autoSpaceDN w:val="0"/>
        <w:adjustRightInd w:val="0"/>
        <w:jc w:val="both"/>
        <w:rPr>
          <w:rFonts w:ascii="Arial" w:hAnsi="Arial" w:cs="Arial"/>
          <w:color w:val="000000"/>
          <w:sz w:val="22"/>
          <w:szCs w:val="22"/>
          <w:lang w:val="es-CO" w:eastAsia="es-CO"/>
        </w:rPr>
      </w:pPr>
    </w:p>
    <w:p w14:paraId="7A894760" w14:textId="2746B01E" w:rsidR="002865FE" w:rsidRDefault="000B1F79" w:rsidP="001B7AA9">
      <w:pPr>
        <w:jc w:val="both"/>
        <w:rPr>
          <w:rFonts w:ascii="Arial" w:eastAsia="Calibri" w:hAnsi="Arial" w:cs="Arial"/>
          <w:sz w:val="22"/>
          <w:szCs w:val="22"/>
          <w:lang w:val="es-CO" w:eastAsia="en-US"/>
        </w:rPr>
      </w:pPr>
      <w:r w:rsidRPr="001B7AA9">
        <w:rPr>
          <w:rFonts w:ascii="Arial" w:eastAsia="Calibri" w:hAnsi="Arial" w:cs="Arial"/>
          <w:sz w:val="22"/>
          <w:szCs w:val="22"/>
          <w:lang w:val="es-CO" w:eastAsia="en-US"/>
        </w:rPr>
        <w:t xml:space="preserve">En consecuencia, </w:t>
      </w:r>
      <w:r w:rsidR="002865FE" w:rsidRPr="001B7AA9">
        <w:rPr>
          <w:rFonts w:ascii="Arial" w:eastAsia="Calibri" w:hAnsi="Arial" w:cs="Arial"/>
          <w:sz w:val="22"/>
          <w:szCs w:val="22"/>
          <w:lang w:val="es-CO" w:eastAsia="en-US"/>
        </w:rPr>
        <w:t xml:space="preserve">los hechos que fundamentan la tutela </w:t>
      </w:r>
      <w:r w:rsidR="002865FE" w:rsidRPr="001B7AA9">
        <w:rPr>
          <w:rFonts w:ascii="Arial" w:eastAsia="Calibri" w:hAnsi="Arial" w:cs="Arial"/>
          <w:b/>
          <w:bCs/>
          <w:sz w:val="22"/>
          <w:szCs w:val="22"/>
          <w:lang w:val="es-CO" w:eastAsia="en-US"/>
        </w:rPr>
        <w:t>no</w:t>
      </w:r>
      <w:r w:rsidR="002865FE" w:rsidRPr="001B7AA9">
        <w:rPr>
          <w:rFonts w:ascii="Arial" w:eastAsia="Calibri" w:hAnsi="Arial" w:cs="Arial"/>
          <w:sz w:val="22"/>
          <w:szCs w:val="22"/>
          <w:lang w:val="es-CO" w:eastAsia="en-US"/>
        </w:rPr>
        <w:t xml:space="preserve"> guardan relación alguna con </w:t>
      </w:r>
      <w:r w:rsidR="00B12395" w:rsidRPr="001B7AA9">
        <w:rPr>
          <w:rFonts w:ascii="Arial" w:eastAsia="Calibri" w:hAnsi="Arial" w:cs="Arial"/>
          <w:sz w:val="22"/>
          <w:szCs w:val="22"/>
          <w:lang w:val="es-CO" w:eastAsia="en-US"/>
        </w:rPr>
        <w:t>las funciones de este</w:t>
      </w:r>
      <w:r w:rsidR="002865FE" w:rsidRPr="001B7AA9">
        <w:rPr>
          <w:rFonts w:ascii="Arial" w:eastAsia="Calibri" w:hAnsi="Arial" w:cs="Arial"/>
          <w:sz w:val="22"/>
          <w:szCs w:val="22"/>
          <w:lang w:val="es-CO" w:eastAsia="en-US"/>
        </w:rPr>
        <w:t xml:space="preserve"> Consejo Seccional de la Judicatura de Caldas, y lo pretendido por el accionante </w:t>
      </w:r>
      <w:r w:rsidR="002865FE" w:rsidRPr="001B7AA9">
        <w:rPr>
          <w:rFonts w:ascii="Arial" w:eastAsia="Calibri" w:hAnsi="Arial" w:cs="Arial"/>
          <w:b/>
          <w:bCs/>
          <w:sz w:val="22"/>
          <w:szCs w:val="22"/>
          <w:lang w:val="es-CO" w:eastAsia="en-US"/>
        </w:rPr>
        <w:t>no es de competencia de esta Corporación</w:t>
      </w:r>
      <w:r w:rsidR="00BF200E" w:rsidRPr="001B7AA9">
        <w:rPr>
          <w:rFonts w:ascii="Arial" w:eastAsia="Calibri" w:hAnsi="Arial" w:cs="Arial"/>
          <w:sz w:val="22"/>
          <w:szCs w:val="22"/>
          <w:lang w:val="es-CO" w:eastAsia="en-US"/>
        </w:rPr>
        <w:t>, cuyas</w:t>
      </w:r>
      <w:r w:rsidR="00B12395" w:rsidRPr="001B7AA9">
        <w:rPr>
          <w:rFonts w:ascii="Arial" w:eastAsia="Calibri" w:hAnsi="Arial" w:cs="Arial"/>
          <w:sz w:val="22"/>
          <w:szCs w:val="22"/>
          <w:lang w:val="es-CO" w:eastAsia="en-US"/>
        </w:rPr>
        <w:t xml:space="preserve"> </w:t>
      </w:r>
      <w:r w:rsidR="002865FE" w:rsidRPr="001B7AA9">
        <w:rPr>
          <w:rFonts w:ascii="Arial" w:eastAsia="Calibri" w:hAnsi="Arial" w:cs="Arial"/>
          <w:sz w:val="22"/>
          <w:szCs w:val="22"/>
          <w:lang w:val="es-CO" w:eastAsia="en-US"/>
        </w:rPr>
        <w:t xml:space="preserve">funciones </w:t>
      </w:r>
      <w:r w:rsidR="00312BED" w:rsidRPr="001B7AA9">
        <w:rPr>
          <w:rFonts w:ascii="Arial" w:eastAsia="Calibri" w:hAnsi="Arial" w:cs="Arial"/>
          <w:sz w:val="22"/>
          <w:szCs w:val="22"/>
          <w:lang w:val="es-CO" w:eastAsia="en-US"/>
        </w:rPr>
        <w:t xml:space="preserve">están definidas en el artículo </w:t>
      </w:r>
      <w:r w:rsidR="002865FE" w:rsidRPr="001B7AA9">
        <w:rPr>
          <w:rFonts w:ascii="Arial" w:eastAsia="Calibri" w:hAnsi="Arial" w:cs="Arial"/>
          <w:sz w:val="22"/>
          <w:szCs w:val="22"/>
          <w:lang w:val="es-CO" w:eastAsia="en-US"/>
        </w:rPr>
        <w:t xml:space="preserve">101 de la Ley 270 de 1996, </w:t>
      </w:r>
      <w:r w:rsidR="00312BED" w:rsidRPr="001B7AA9">
        <w:rPr>
          <w:rFonts w:ascii="Arial" w:eastAsia="Calibri" w:hAnsi="Arial" w:cs="Arial"/>
          <w:sz w:val="22"/>
          <w:szCs w:val="22"/>
          <w:lang w:val="es-CO" w:eastAsia="en-US"/>
        </w:rPr>
        <w:t xml:space="preserve">que se orientan </w:t>
      </w:r>
      <w:r w:rsidR="002865FE" w:rsidRPr="001B7AA9">
        <w:rPr>
          <w:rFonts w:ascii="Arial" w:eastAsia="Calibri" w:hAnsi="Arial" w:cs="Arial"/>
          <w:sz w:val="22"/>
          <w:szCs w:val="22"/>
          <w:lang w:val="es-CO" w:eastAsia="en-US"/>
        </w:rPr>
        <w:t>principalmente a la administración de la carrera judicial</w:t>
      </w:r>
      <w:r w:rsidR="00770D70" w:rsidRPr="001B7AA9">
        <w:rPr>
          <w:rFonts w:ascii="Arial" w:eastAsia="Calibri" w:hAnsi="Arial" w:cs="Arial"/>
          <w:sz w:val="22"/>
          <w:szCs w:val="22"/>
          <w:lang w:val="es-CO" w:eastAsia="en-US"/>
        </w:rPr>
        <w:t>.</w:t>
      </w:r>
    </w:p>
    <w:p w14:paraId="5DDF454A" w14:textId="77777777" w:rsidR="00BA7EE3" w:rsidRDefault="00BA7EE3" w:rsidP="001B7AA9">
      <w:pPr>
        <w:jc w:val="both"/>
        <w:rPr>
          <w:rFonts w:ascii="Arial" w:eastAsia="Calibri" w:hAnsi="Arial" w:cs="Arial"/>
          <w:sz w:val="22"/>
          <w:szCs w:val="22"/>
          <w:lang w:val="es-CO" w:eastAsia="en-US"/>
        </w:rPr>
      </w:pPr>
    </w:p>
    <w:p w14:paraId="05F33C57" w14:textId="77777777" w:rsidR="002865FE" w:rsidRPr="001B7AA9" w:rsidRDefault="002865FE" w:rsidP="001B7AA9">
      <w:pPr>
        <w:pStyle w:val="Prrafodelista"/>
        <w:numPr>
          <w:ilvl w:val="0"/>
          <w:numId w:val="1"/>
        </w:numPr>
        <w:tabs>
          <w:tab w:val="left" w:pos="426"/>
        </w:tabs>
        <w:jc w:val="both"/>
        <w:rPr>
          <w:rFonts w:ascii="Arial" w:eastAsia="Calibri" w:hAnsi="Arial" w:cs="Arial"/>
          <w:sz w:val="22"/>
          <w:szCs w:val="22"/>
          <w:lang w:val="es-CO" w:eastAsia="en-US"/>
        </w:rPr>
      </w:pPr>
      <w:r w:rsidRPr="001B7AA9">
        <w:rPr>
          <w:rFonts w:ascii="Arial" w:eastAsia="Calibri" w:hAnsi="Arial" w:cs="Arial"/>
          <w:b/>
          <w:bCs/>
          <w:sz w:val="22"/>
          <w:szCs w:val="22"/>
          <w:lang w:val="es-CO" w:eastAsia="en-US"/>
        </w:rPr>
        <w:lastRenderedPageBreak/>
        <w:t>Conclusión</w:t>
      </w:r>
    </w:p>
    <w:p w14:paraId="5F5E9AFD" w14:textId="76E8AF9C" w:rsidR="002865FE" w:rsidRPr="001B7AA9" w:rsidRDefault="002865FE" w:rsidP="001B7AA9">
      <w:pPr>
        <w:tabs>
          <w:tab w:val="left" w:pos="426"/>
        </w:tabs>
        <w:jc w:val="both"/>
        <w:rPr>
          <w:rFonts w:ascii="Arial" w:hAnsi="Arial" w:cs="Arial"/>
          <w:color w:val="000000"/>
          <w:sz w:val="22"/>
          <w:szCs w:val="22"/>
          <w:lang w:val="es-CO" w:eastAsia="es-CO"/>
        </w:rPr>
      </w:pPr>
    </w:p>
    <w:p w14:paraId="35061BB4" w14:textId="24D49174" w:rsidR="00E8334C" w:rsidRPr="001B7AA9" w:rsidRDefault="008C6BD2" w:rsidP="001B7AA9">
      <w:pPr>
        <w:pStyle w:val="Prrafodelista"/>
        <w:tabs>
          <w:tab w:val="left" w:pos="426"/>
        </w:tabs>
        <w:ind w:left="0"/>
        <w:jc w:val="both"/>
        <w:rPr>
          <w:rFonts w:ascii="Arial" w:eastAsia="Calibri" w:hAnsi="Arial" w:cs="Arial"/>
          <w:sz w:val="22"/>
          <w:szCs w:val="22"/>
          <w:lang w:val="es-CO" w:eastAsia="en-US"/>
        </w:rPr>
      </w:pPr>
      <w:r w:rsidRPr="001B7AA9">
        <w:rPr>
          <w:rFonts w:ascii="Arial" w:eastAsia="Calibri" w:hAnsi="Arial" w:cs="Arial"/>
          <w:sz w:val="22"/>
          <w:szCs w:val="22"/>
          <w:lang w:val="es-CO" w:eastAsia="en-US"/>
        </w:rPr>
        <w:t xml:space="preserve">Teniendo en cuenta que </w:t>
      </w:r>
      <w:r w:rsidR="00E8334C" w:rsidRPr="001B7AA9">
        <w:rPr>
          <w:rFonts w:ascii="Arial" w:eastAsia="Calibri" w:hAnsi="Arial" w:cs="Arial"/>
          <w:sz w:val="22"/>
          <w:szCs w:val="22"/>
          <w:lang w:val="es-CO" w:eastAsia="en-US"/>
        </w:rPr>
        <w:t xml:space="preserve">el accionante no expuso cuál fue la acción u omisión </w:t>
      </w:r>
      <w:r w:rsidRPr="001B7AA9">
        <w:rPr>
          <w:rFonts w:ascii="Arial" w:eastAsia="Calibri" w:hAnsi="Arial" w:cs="Arial"/>
          <w:sz w:val="22"/>
          <w:szCs w:val="22"/>
          <w:lang w:val="es-CO" w:eastAsia="en-US"/>
        </w:rPr>
        <w:t xml:space="preserve">atribuible a esta Corporación que habría dado lugar a la presunta vulneración </w:t>
      </w:r>
      <w:r w:rsidR="00E8334C" w:rsidRPr="001B7AA9">
        <w:rPr>
          <w:rFonts w:ascii="Arial" w:eastAsia="Calibri" w:hAnsi="Arial" w:cs="Arial"/>
          <w:sz w:val="22"/>
          <w:szCs w:val="22"/>
          <w:lang w:val="es-CO" w:eastAsia="en-US"/>
        </w:rPr>
        <w:t xml:space="preserve">de sus derechos al trabajo, la igualdad, el mínimo vital y una vida digna, se configura la </w:t>
      </w:r>
      <w:r w:rsidR="00E8334C" w:rsidRPr="001B7AA9">
        <w:rPr>
          <w:rFonts w:ascii="Arial" w:eastAsia="Calibri" w:hAnsi="Arial" w:cs="Arial"/>
          <w:b/>
          <w:bCs/>
          <w:sz w:val="22"/>
          <w:szCs w:val="22"/>
          <w:lang w:val="es-CO" w:eastAsia="en-US"/>
        </w:rPr>
        <w:t>falta de legitimación en la causa por pasiva</w:t>
      </w:r>
      <w:r w:rsidR="00CC3FFB" w:rsidRPr="001B7AA9">
        <w:rPr>
          <w:rFonts w:ascii="Arial" w:eastAsia="Calibri" w:hAnsi="Arial" w:cs="Arial"/>
          <w:b/>
          <w:bCs/>
          <w:sz w:val="22"/>
          <w:szCs w:val="22"/>
          <w:lang w:val="es-CO" w:eastAsia="en-US"/>
        </w:rPr>
        <w:t>.</w:t>
      </w:r>
      <w:r w:rsidR="006B4723">
        <w:rPr>
          <w:rFonts w:ascii="Arial" w:eastAsia="Calibri" w:hAnsi="Arial" w:cs="Arial"/>
          <w:sz w:val="22"/>
          <w:szCs w:val="22"/>
          <w:lang w:val="es-CO" w:eastAsia="en-US"/>
        </w:rPr>
        <w:t xml:space="preserve"> </w:t>
      </w:r>
      <w:r w:rsidR="00CC3FFB" w:rsidRPr="001B7AA9">
        <w:rPr>
          <w:rFonts w:ascii="Arial" w:eastAsia="Calibri" w:hAnsi="Arial" w:cs="Arial"/>
          <w:sz w:val="22"/>
          <w:szCs w:val="22"/>
          <w:lang w:val="es-CO" w:eastAsia="en-US"/>
        </w:rPr>
        <w:t xml:space="preserve">Sobre este requisito de procedibilidad, </w:t>
      </w:r>
      <w:r w:rsidR="00E8334C" w:rsidRPr="001B7AA9">
        <w:rPr>
          <w:rFonts w:ascii="Arial" w:eastAsia="Calibri" w:hAnsi="Arial" w:cs="Arial"/>
          <w:bCs/>
          <w:sz w:val="22"/>
          <w:szCs w:val="22"/>
          <w:lang w:val="es-CO" w:eastAsia="en-US"/>
        </w:rPr>
        <w:t>l</w:t>
      </w:r>
      <w:r w:rsidR="00E8334C" w:rsidRPr="001B7AA9">
        <w:rPr>
          <w:rFonts w:ascii="Arial" w:eastAsia="Calibri" w:hAnsi="Arial" w:cs="Arial"/>
          <w:sz w:val="22"/>
          <w:szCs w:val="22"/>
          <w:lang w:val="es-CO" w:eastAsia="en-US"/>
        </w:rPr>
        <w:t xml:space="preserve">a Corte Constitucional </w:t>
      </w:r>
      <w:r w:rsidR="00447360" w:rsidRPr="001B7AA9">
        <w:rPr>
          <w:rFonts w:ascii="Arial" w:eastAsia="Calibri" w:hAnsi="Arial" w:cs="Arial"/>
          <w:sz w:val="22"/>
          <w:szCs w:val="22"/>
          <w:lang w:val="es-CO" w:eastAsia="en-US"/>
        </w:rPr>
        <w:t xml:space="preserve">en </w:t>
      </w:r>
      <w:r w:rsidR="00836EB2" w:rsidRPr="001B7AA9">
        <w:rPr>
          <w:rFonts w:ascii="Arial" w:eastAsia="Calibri" w:hAnsi="Arial" w:cs="Arial"/>
          <w:sz w:val="22"/>
          <w:szCs w:val="22"/>
          <w:lang w:val="es-CO" w:eastAsia="en-US"/>
        </w:rPr>
        <w:t xml:space="preserve">la </w:t>
      </w:r>
      <w:r w:rsidR="00E8334C" w:rsidRPr="001B7AA9">
        <w:rPr>
          <w:rFonts w:ascii="Arial" w:eastAsia="Calibri" w:hAnsi="Arial" w:cs="Arial"/>
          <w:sz w:val="22"/>
          <w:szCs w:val="22"/>
          <w:lang w:val="es-CO" w:eastAsia="en-US"/>
        </w:rPr>
        <w:t xml:space="preserve">reciente sentencia T-115 del 31 de marzo de 2025, Magistrado Ponente Vladimir Fernández Andrade, </w:t>
      </w:r>
      <w:r w:rsidR="005A26B2" w:rsidRPr="001B7AA9">
        <w:rPr>
          <w:rFonts w:ascii="Arial" w:eastAsia="Calibri" w:hAnsi="Arial" w:cs="Arial"/>
          <w:sz w:val="22"/>
          <w:szCs w:val="22"/>
          <w:lang w:val="es-CO" w:eastAsia="en-US"/>
        </w:rPr>
        <w:t>se señaló:</w:t>
      </w:r>
    </w:p>
    <w:p w14:paraId="4661975D" w14:textId="77777777" w:rsidR="00E8334C" w:rsidRPr="001B7AA9" w:rsidRDefault="00E8334C" w:rsidP="001B7AA9">
      <w:pPr>
        <w:pStyle w:val="Prrafodelista"/>
        <w:tabs>
          <w:tab w:val="left" w:pos="426"/>
        </w:tabs>
        <w:ind w:left="0"/>
        <w:jc w:val="both"/>
        <w:rPr>
          <w:rFonts w:ascii="Arial" w:eastAsia="Calibri" w:hAnsi="Arial" w:cs="Arial"/>
          <w:sz w:val="22"/>
          <w:szCs w:val="22"/>
          <w:lang w:val="es-CO" w:eastAsia="en-US"/>
        </w:rPr>
      </w:pPr>
    </w:p>
    <w:p w14:paraId="28F8B5DC" w14:textId="77777777" w:rsidR="00E8334C" w:rsidRPr="00003C52" w:rsidRDefault="00E8334C" w:rsidP="001B7AA9">
      <w:pPr>
        <w:ind w:left="851"/>
        <w:jc w:val="both"/>
        <w:rPr>
          <w:rFonts w:ascii="Arial" w:hAnsi="Arial" w:cs="Arial"/>
          <w:sz w:val="20"/>
          <w:szCs w:val="20"/>
          <w:lang w:val="es-CO"/>
        </w:rPr>
      </w:pPr>
      <w:r w:rsidRPr="00003C52">
        <w:rPr>
          <w:rFonts w:ascii="Arial" w:hAnsi="Arial" w:cs="Arial"/>
          <w:i/>
          <w:iCs/>
          <w:color w:val="000000"/>
          <w:kern w:val="24"/>
          <w:sz w:val="20"/>
          <w:szCs w:val="20"/>
        </w:rPr>
        <w:t xml:space="preserve">“[…] </w:t>
      </w:r>
      <w:r w:rsidRPr="00003C52">
        <w:rPr>
          <w:rFonts w:ascii="Arial" w:hAnsi="Arial" w:cs="Arial"/>
          <w:i/>
          <w:iCs/>
          <w:color w:val="000000"/>
          <w:sz w:val="20"/>
          <w:szCs w:val="20"/>
          <w:shd w:val="clear" w:color="auto" w:fill="FFFFFF"/>
        </w:rPr>
        <w:t>Conforme a lo previsto en el artículo 5 del Decreto Ley 2591 de 1991</w:t>
      </w:r>
      <w:r w:rsidRPr="00003C52">
        <w:rPr>
          <w:rFonts w:ascii="Arial" w:hAnsi="Arial" w:cs="Arial"/>
          <w:i/>
          <w:iCs/>
          <w:color w:val="000000"/>
          <w:sz w:val="20"/>
          <w:szCs w:val="20"/>
        </w:rPr>
        <w:t xml:space="preserve">, la acción de tutela procede </w:t>
      </w:r>
      <w:r w:rsidRPr="00003C52">
        <w:rPr>
          <w:rFonts w:ascii="Arial" w:hAnsi="Arial" w:cs="Arial"/>
          <w:i/>
          <w:iCs/>
          <w:color w:val="000000"/>
          <w:sz w:val="20"/>
          <w:szCs w:val="20"/>
          <w:shd w:val="clear" w:color="auto" w:fill="FFFFFF"/>
        </w:rPr>
        <w:t>contra toda acción u omisión de una autoridad pública que hubiera violado o amenazado un derecho fundamental. Igualmente, procede de manera excepcional contra acciones u omisiones de particulares, de acuerdo con lo establecido en el artículo 86 del Texto Superior y conforme a lo previsto en el artículo 42 del mencionado decreto.</w:t>
      </w:r>
      <w:r w:rsidRPr="00003C52">
        <w:rPr>
          <w:rFonts w:ascii="Arial" w:hAnsi="Arial" w:cs="Arial"/>
          <w:i/>
          <w:iCs/>
          <w:color w:val="000000"/>
          <w:sz w:val="20"/>
          <w:szCs w:val="20"/>
        </w:rPr>
        <w:t xml:space="preserve"> </w:t>
      </w:r>
      <w:r w:rsidRPr="00003C52">
        <w:rPr>
          <w:rFonts w:ascii="Arial" w:hAnsi="Arial" w:cs="Arial"/>
          <w:b/>
          <w:i/>
          <w:iCs/>
          <w:color w:val="000000"/>
          <w:sz w:val="20"/>
          <w:szCs w:val="20"/>
        </w:rPr>
        <w:t>El requisito de legitimación en la causa por pasiva se explica en la aptitud o capacidad legal</w:t>
      </w:r>
      <w:r w:rsidRPr="00003C52">
        <w:rPr>
          <w:rFonts w:ascii="Arial" w:hAnsi="Arial" w:cs="Arial"/>
          <w:b/>
          <w:i/>
          <w:iCs/>
          <w:color w:val="000000"/>
          <w:sz w:val="20"/>
          <w:szCs w:val="20"/>
          <w:vertAlign w:val="superscript"/>
        </w:rPr>
        <w:footnoteReference w:id="3"/>
      </w:r>
      <w:r w:rsidRPr="00003C52">
        <w:rPr>
          <w:rFonts w:ascii="Arial" w:hAnsi="Arial" w:cs="Arial"/>
          <w:b/>
          <w:i/>
          <w:iCs/>
          <w:color w:val="000000"/>
          <w:sz w:val="20"/>
          <w:szCs w:val="20"/>
        </w:rPr>
        <w:t xml:space="preserve"> de la accionada, bien sea porque es el presunto responsable de los hechos vulneradores o porque es el llamado a responder por las pretensiones de amparo</w:t>
      </w:r>
      <w:r w:rsidRPr="00003C52">
        <w:rPr>
          <w:rFonts w:ascii="Arial" w:hAnsi="Arial" w:cs="Arial"/>
          <w:b/>
          <w:i/>
          <w:iCs/>
          <w:color w:val="000000"/>
          <w:sz w:val="20"/>
          <w:szCs w:val="20"/>
          <w:vertAlign w:val="superscript"/>
        </w:rPr>
        <w:footnoteReference w:id="4"/>
      </w:r>
      <w:r w:rsidRPr="00003C52">
        <w:rPr>
          <w:rFonts w:ascii="Arial" w:hAnsi="Arial" w:cs="Arial"/>
          <w:bCs/>
          <w:i/>
          <w:iCs/>
          <w:color w:val="000000"/>
          <w:sz w:val="20"/>
          <w:szCs w:val="20"/>
        </w:rPr>
        <w:t>.</w:t>
      </w:r>
      <w:r w:rsidRPr="00003C52">
        <w:rPr>
          <w:rFonts w:ascii="Arial" w:hAnsi="Arial" w:cs="Arial"/>
          <w:i/>
          <w:iCs/>
          <w:color w:val="000000"/>
          <w:kern w:val="24"/>
          <w:sz w:val="20"/>
          <w:szCs w:val="20"/>
        </w:rPr>
        <w:t xml:space="preserve"> […]”</w:t>
      </w:r>
      <w:r w:rsidRPr="00003C52">
        <w:rPr>
          <w:rFonts w:ascii="Arial" w:eastAsia="Calibri" w:hAnsi="Arial" w:cs="Arial"/>
          <w:i/>
          <w:iCs/>
          <w:sz w:val="20"/>
          <w:szCs w:val="20"/>
          <w:lang w:val="es-CO" w:eastAsia="en-US"/>
        </w:rPr>
        <w:t xml:space="preserve"> </w:t>
      </w:r>
      <w:r w:rsidRPr="00003C52">
        <w:rPr>
          <w:rFonts w:ascii="Arial" w:eastAsia="Calibri" w:hAnsi="Arial" w:cs="Arial"/>
          <w:sz w:val="20"/>
          <w:szCs w:val="20"/>
          <w:lang w:val="es-CO" w:eastAsia="en-US"/>
        </w:rPr>
        <w:t>(Negrita por fuera del texto original).</w:t>
      </w:r>
    </w:p>
    <w:p w14:paraId="21BEEFE6" w14:textId="77777777" w:rsidR="00E8334C" w:rsidRPr="001B7AA9" w:rsidRDefault="00E8334C" w:rsidP="001B7AA9">
      <w:pPr>
        <w:tabs>
          <w:tab w:val="left" w:pos="426"/>
        </w:tabs>
        <w:jc w:val="both"/>
        <w:rPr>
          <w:rFonts w:ascii="Arial" w:hAnsi="Arial" w:cs="Arial"/>
          <w:color w:val="000000"/>
          <w:sz w:val="22"/>
          <w:szCs w:val="22"/>
          <w:lang w:val="es-CO" w:eastAsia="es-CO"/>
        </w:rPr>
      </w:pPr>
    </w:p>
    <w:p w14:paraId="7F0378E5" w14:textId="5D1DAF54" w:rsidR="00850294" w:rsidRPr="001B7AA9" w:rsidRDefault="00B71B14" w:rsidP="003527E4">
      <w:pPr>
        <w:tabs>
          <w:tab w:val="left" w:pos="426"/>
        </w:tabs>
        <w:jc w:val="both"/>
        <w:rPr>
          <w:rFonts w:ascii="Arial" w:hAnsi="Arial" w:cs="Arial"/>
          <w:color w:val="000000"/>
          <w:sz w:val="22"/>
          <w:szCs w:val="22"/>
          <w:lang w:val="es-CO" w:eastAsia="es-CO"/>
        </w:rPr>
      </w:pPr>
      <w:r w:rsidRPr="001B7AA9">
        <w:rPr>
          <w:rFonts w:ascii="Arial" w:hAnsi="Arial" w:cs="Arial"/>
          <w:color w:val="000000"/>
          <w:sz w:val="22"/>
          <w:szCs w:val="22"/>
          <w:lang w:val="es-CO" w:eastAsia="es-CO"/>
        </w:rPr>
        <w:t xml:space="preserve">En virtud de lo anterior, solicito respetuosamente a su digno Despacho que se exonere de responsabilidad </w:t>
      </w:r>
      <w:r w:rsidR="002865FE" w:rsidRPr="001B7AA9">
        <w:rPr>
          <w:rFonts w:ascii="Arial" w:hAnsi="Arial" w:cs="Arial"/>
          <w:color w:val="000000"/>
          <w:sz w:val="22"/>
          <w:szCs w:val="22"/>
          <w:lang w:val="es-CO" w:eastAsia="es-CO"/>
        </w:rPr>
        <w:t>al Consejo Seccional de la Judicatura de Caldas</w:t>
      </w:r>
      <w:r w:rsidR="007C62F2" w:rsidRPr="001B7AA9">
        <w:rPr>
          <w:rFonts w:ascii="Arial" w:hAnsi="Arial" w:cs="Arial"/>
          <w:color w:val="000000"/>
          <w:sz w:val="22"/>
          <w:szCs w:val="22"/>
          <w:lang w:val="es-CO" w:eastAsia="es-CO"/>
        </w:rPr>
        <w:t>, por cuanto</w:t>
      </w:r>
      <w:r w:rsidR="00F83B8A">
        <w:rPr>
          <w:rFonts w:ascii="Arial" w:hAnsi="Arial" w:cs="Arial"/>
          <w:color w:val="000000"/>
          <w:sz w:val="22"/>
          <w:szCs w:val="22"/>
          <w:lang w:val="es-CO" w:eastAsia="es-CO"/>
        </w:rPr>
        <w:t xml:space="preserve"> no</w:t>
      </w:r>
      <w:r w:rsidR="007C62F2" w:rsidRPr="00F83B8A">
        <w:rPr>
          <w:rFonts w:ascii="Arial" w:hAnsi="Arial" w:cs="Arial"/>
          <w:color w:val="000000"/>
          <w:sz w:val="22"/>
          <w:szCs w:val="22"/>
          <w:lang w:val="es-CO" w:eastAsia="es-CO"/>
        </w:rPr>
        <w:t xml:space="preserve"> tiene competencia ni injerencia en el trámite de los procesos judiciales a cargo de los juzgados de este Distrito Judicial</w:t>
      </w:r>
      <w:r w:rsidR="00516A44">
        <w:rPr>
          <w:rFonts w:ascii="Arial" w:hAnsi="Arial" w:cs="Arial"/>
          <w:color w:val="000000"/>
          <w:sz w:val="22"/>
          <w:szCs w:val="22"/>
          <w:lang w:val="es-CO" w:eastAsia="es-CO"/>
        </w:rPr>
        <w:t>; tampoco tiene</w:t>
      </w:r>
      <w:r w:rsidR="007C62F2" w:rsidRPr="001B7AA9">
        <w:rPr>
          <w:rFonts w:ascii="Arial" w:hAnsi="Arial" w:cs="Arial"/>
          <w:color w:val="000000"/>
          <w:sz w:val="22"/>
          <w:szCs w:val="22"/>
          <w:lang w:val="es-CO" w:eastAsia="es-CO"/>
        </w:rPr>
        <w:t xml:space="preserve"> facultad para intervenir en la gestión o registro de la información en el </w:t>
      </w:r>
      <w:r w:rsidR="00850294" w:rsidRPr="001B7AA9">
        <w:rPr>
          <w:rFonts w:ascii="Arial" w:hAnsi="Arial" w:cs="Arial"/>
          <w:i/>
          <w:iCs/>
          <w:color w:val="000000"/>
          <w:sz w:val="22"/>
          <w:szCs w:val="22"/>
          <w:lang w:val="es-CO" w:eastAsia="es-CO"/>
        </w:rPr>
        <w:t>Sistema de Información de Procesos y Manejo Documental Justicia XX</w:t>
      </w:r>
      <w:r w:rsidR="005C609C">
        <w:rPr>
          <w:rFonts w:ascii="Arial" w:hAnsi="Arial" w:cs="Arial"/>
          <w:i/>
          <w:iCs/>
          <w:color w:val="000000"/>
          <w:sz w:val="22"/>
          <w:szCs w:val="22"/>
          <w:lang w:val="es-CO" w:eastAsia="es-CO"/>
        </w:rPr>
        <w:t xml:space="preserve">I </w:t>
      </w:r>
      <w:r w:rsidR="005C609C">
        <w:rPr>
          <w:rFonts w:ascii="Arial" w:hAnsi="Arial" w:cs="Arial"/>
          <w:color w:val="000000"/>
          <w:sz w:val="22"/>
          <w:szCs w:val="22"/>
          <w:lang w:val="es-CO" w:eastAsia="es-CO"/>
        </w:rPr>
        <w:t>o en su publicación en la página web de la Rama Judicial</w:t>
      </w:r>
      <w:r w:rsidR="003527E4">
        <w:rPr>
          <w:rFonts w:ascii="Arial" w:hAnsi="Arial" w:cs="Arial"/>
          <w:color w:val="000000"/>
          <w:sz w:val="22"/>
          <w:szCs w:val="22"/>
          <w:lang w:val="es-CO" w:eastAsia="es-CO"/>
        </w:rPr>
        <w:t>; en consecuencia, no</w:t>
      </w:r>
      <w:r w:rsidR="00850294" w:rsidRPr="001B7AA9">
        <w:rPr>
          <w:rFonts w:ascii="Arial" w:hAnsi="Arial" w:cs="Arial"/>
          <w:color w:val="000000"/>
          <w:sz w:val="22"/>
          <w:szCs w:val="22"/>
          <w:lang w:val="es-CO" w:eastAsia="es-CO"/>
        </w:rPr>
        <w:t xml:space="preserve"> ha vulnerado los derechos fundamentales reclamados por el accionante.</w:t>
      </w:r>
    </w:p>
    <w:p w14:paraId="74088D45" w14:textId="77777777" w:rsidR="007C62F2" w:rsidRPr="001B7AA9" w:rsidRDefault="007C62F2" w:rsidP="001B7AA9">
      <w:pPr>
        <w:tabs>
          <w:tab w:val="left" w:pos="426"/>
        </w:tabs>
        <w:jc w:val="both"/>
        <w:rPr>
          <w:rFonts w:ascii="Arial" w:hAnsi="Arial" w:cs="Arial"/>
          <w:color w:val="000000"/>
          <w:sz w:val="22"/>
          <w:szCs w:val="22"/>
          <w:lang w:val="es-CO" w:eastAsia="es-CO"/>
        </w:rPr>
      </w:pPr>
    </w:p>
    <w:p w14:paraId="25AA8B3C" w14:textId="36BF97E3" w:rsidR="002865FE" w:rsidRPr="001B7AA9" w:rsidRDefault="002865FE" w:rsidP="001B7AA9">
      <w:pPr>
        <w:tabs>
          <w:tab w:val="left" w:pos="2205"/>
        </w:tabs>
        <w:jc w:val="both"/>
        <w:rPr>
          <w:rFonts w:ascii="Arial" w:hAnsi="Arial" w:cs="Arial"/>
          <w:sz w:val="22"/>
          <w:szCs w:val="22"/>
          <w:lang w:val="es-CO"/>
        </w:rPr>
      </w:pPr>
    </w:p>
    <w:p w14:paraId="1AAC3179" w14:textId="0A60DCCA" w:rsidR="002865FE" w:rsidRPr="001B7AA9" w:rsidRDefault="002865FE" w:rsidP="001B7AA9">
      <w:pPr>
        <w:jc w:val="both"/>
        <w:rPr>
          <w:rFonts w:ascii="Arial" w:hAnsi="Arial" w:cs="Arial"/>
          <w:sz w:val="22"/>
          <w:szCs w:val="22"/>
          <w:lang w:val="es-CO"/>
        </w:rPr>
      </w:pPr>
      <w:r w:rsidRPr="001B7AA9">
        <w:rPr>
          <w:rFonts w:ascii="Arial" w:hAnsi="Arial" w:cs="Arial"/>
          <w:sz w:val="22"/>
          <w:szCs w:val="22"/>
          <w:lang w:val="es-CO"/>
        </w:rPr>
        <w:t xml:space="preserve">Cordialmente, </w:t>
      </w:r>
    </w:p>
    <w:p w14:paraId="4102F737" w14:textId="77777777" w:rsidR="00333EA2" w:rsidRPr="001B7AA9" w:rsidRDefault="00333EA2" w:rsidP="001B7AA9">
      <w:pPr>
        <w:jc w:val="both"/>
        <w:rPr>
          <w:rFonts w:ascii="Arial" w:hAnsi="Arial" w:cs="Arial"/>
          <w:sz w:val="22"/>
          <w:szCs w:val="22"/>
          <w:lang w:val="es-CO"/>
        </w:rPr>
      </w:pPr>
    </w:p>
    <w:p w14:paraId="5AF2BD08" w14:textId="1A28DBA5" w:rsidR="002865FE" w:rsidRPr="001B7AA9" w:rsidRDefault="002865FE" w:rsidP="001B7AA9">
      <w:pPr>
        <w:jc w:val="both"/>
        <w:rPr>
          <w:rFonts w:ascii="Arial" w:hAnsi="Arial" w:cs="Arial"/>
          <w:sz w:val="22"/>
          <w:szCs w:val="22"/>
          <w:lang w:val="es-CO"/>
        </w:rPr>
      </w:pPr>
    </w:p>
    <w:p w14:paraId="2D4AC016" w14:textId="77777777" w:rsidR="002865FE" w:rsidRPr="001B7AA9" w:rsidRDefault="002865FE" w:rsidP="001B7AA9">
      <w:pPr>
        <w:jc w:val="both"/>
        <w:rPr>
          <w:rFonts w:ascii="Arial" w:hAnsi="Arial" w:cs="Arial"/>
          <w:sz w:val="22"/>
          <w:szCs w:val="22"/>
          <w:lang w:val="es-CO"/>
        </w:rPr>
      </w:pPr>
    </w:p>
    <w:p w14:paraId="27B7E037" w14:textId="77777777" w:rsidR="002865FE" w:rsidRPr="001B7AA9" w:rsidRDefault="002865FE" w:rsidP="001B7AA9">
      <w:pPr>
        <w:jc w:val="both"/>
        <w:rPr>
          <w:rFonts w:ascii="Arial" w:hAnsi="Arial" w:cs="Arial"/>
          <w:sz w:val="22"/>
          <w:szCs w:val="22"/>
          <w:lang w:val="es-CO"/>
        </w:rPr>
      </w:pPr>
    </w:p>
    <w:p w14:paraId="542157C0" w14:textId="0117547C" w:rsidR="002865FE" w:rsidRPr="001B7AA9" w:rsidRDefault="002865FE" w:rsidP="001B7AA9">
      <w:pPr>
        <w:jc w:val="both"/>
        <w:rPr>
          <w:rFonts w:ascii="Arial" w:hAnsi="Arial" w:cs="Arial"/>
          <w:sz w:val="22"/>
          <w:szCs w:val="22"/>
          <w:lang w:val="es-CO"/>
        </w:rPr>
      </w:pPr>
    </w:p>
    <w:p w14:paraId="1E303C51" w14:textId="77777777" w:rsidR="002865FE" w:rsidRPr="001B7AA9" w:rsidRDefault="002865FE" w:rsidP="001B7AA9">
      <w:pPr>
        <w:jc w:val="both"/>
        <w:rPr>
          <w:rFonts w:ascii="Arial" w:hAnsi="Arial" w:cs="Arial"/>
          <w:sz w:val="22"/>
          <w:szCs w:val="22"/>
          <w:lang w:val="es-CO"/>
        </w:rPr>
      </w:pPr>
    </w:p>
    <w:p w14:paraId="3B86A18E" w14:textId="77777777" w:rsidR="002865FE" w:rsidRPr="001B7AA9" w:rsidRDefault="002865FE" w:rsidP="001B7AA9">
      <w:pPr>
        <w:jc w:val="both"/>
        <w:rPr>
          <w:rFonts w:ascii="Arial" w:hAnsi="Arial" w:cs="Arial"/>
          <w:b/>
          <w:iCs/>
          <w:sz w:val="22"/>
          <w:szCs w:val="22"/>
          <w:lang w:val="es-CO"/>
        </w:rPr>
      </w:pPr>
      <w:r w:rsidRPr="001B7AA9">
        <w:rPr>
          <w:rFonts w:ascii="Arial" w:hAnsi="Arial" w:cs="Arial"/>
          <w:b/>
          <w:sz w:val="22"/>
          <w:szCs w:val="22"/>
          <w:lang w:val="es-CO"/>
        </w:rPr>
        <w:t xml:space="preserve">VICTORIA EUGENIA VELÁSQUEZ MARÍN </w:t>
      </w:r>
    </w:p>
    <w:p w14:paraId="36F08BEB" w14:textId="77777777" w:rsidR="002865FE" w:rsidRPr="001B7AA9" w:rsidRDefault="002865FE" w:rsidP="001B7AA9">
      <w:pPr>
        <w:jc w:val="both"/>
        <w:rPr>
          <w:rFonts w:ascii="Arial" w:hAnsi="Arial" w:cs="Arial"/>
          <w:sz w:val="22"/>
          <w:szCs w:val="22"/>
          <w:lang w:val="es-CO"/>
        </w:rPr>
      </w:pPr>
      <w:r w:rsidRPr="001B7AA9">
        <w:rPr>
          <w:rFonts w:ascii="Arial" w:hAnsi="Arial" w:cs="Arial"/>
          <w:sz w:val="22"/>
          <w:szCs w:val="22"/>
          <w:lang w:val="es-CO"/>
        </w:rPr>
        <w:t>Presidenta</w:t>
      </w:r>
    </w:p>
    <w:p w14:paraId="45348D37" w14:textId="594DB64A" w:rsidR="002865FE" w:rsidRPr="001B7AA9" w:rsidRDefault="002865FE" w:rsidP="001B7AA9">
      <w:pPr>
        <w:jc w:val="both"/>
        <w:rPr>
          <w:rFonts w:ascii="Arial" w:hAnsi="Arial" w:cs="Arial"/>
          <w:sz w:val="22"/>
          <w:szCs w:val="22"/>
          <w:lang w:val="es-CO"/>
        </w:rPr>
      </w:pPr>
    </w:p>
    <w:p w14:paraId="15572AE6" w14:textId="77777777" w:rsidR="005B29E8" w:rsidRPr="001B7AA9" w:rsidRDefault="005B29E8" w:rsidP="001B7AA9">
      <w:pPr>
        <w:jc w:val="both"/>
        <w:rPr>
          <w:rFonts w:ascii="Arial" w:hAnsi="Arial" w:cs="Arial"/>
          <w:sz w:val="22"/>
          <w:szCs w:val="22"/>
          <w:lang w:val="es-CO"/>
        </w:rPr>
      </w:pPr>
    </w:p>
    <w:p w14:paraId="0C1A3E77" w14:textId="77777777" w:rsidR="002865FE" w:rsidRPr="00AE2332" w:rsidRDefault="002865FE" w:rsidP="001B7AA9">
      <w:pPr>
        <w:jc w:val="both"/>
        <w:rPr>
          <w:rFonts w:ascii="Arial" w:hAnsi="Arial" w:cs="Arial"/>
          <w:sz w:val="16"/>
          <w:szCs w:val="16"/>
          <w:lang w:val="es-CO"/>
        </w:rPr>
      </w:pPr>
      <w:r w:rsidRPr="00AE2332">
        <w:rPr>
          <w:rFonts w:ascii="Arial" w:hAnsi="Arial" w:cs="Arial"/>
          <w:sz w:val="16"/>
          <w:szCs w:val="16"/>
        </w:rPr>
        <w:t>MP: VEVM</w:t>
      </w:r>
    </w:p>
    <w:p w14:paraId="2E3AF877" w14:textId="364171BA" w:rsidR="002776C6" w:rsidRPr="00AE2332" w:rsidRDefault="002865FE" w:rsidP="001B7AA9">
      <w:pPr>
        <w:jc w:val="both"/>
        <w:rPr>
          <w:rFonts w:ascii="Arial" w:hAnsi="Arial" w:cs="Arial"/>
          <w:sz w:val="16"/>
          <w:szCs w:val="16"/>
          <w:lang w:val="es-CO"/>
        </w:rPr>
      </w:pPr>
      <w:r w:rsidRPr="00AE2332">
        <w:rPr>
          <w:rFonts w:ascii="Arial" w:hAnsi="Arial" w:cs="Arial"/>
          <w:sz w:val="16"/>
          <w:szCs w:val="16"/>
        </w:rPr>
        <w:t>Proyectó: VEVM/DMAG</w:t>
      </w:r>
    </w:p>
    <w:sectPr w:rsidR="002776C6" w:rsidRPr="00AE2332" w:rsidSect="00951FDE">
      <w:headerReference w:type="default" r:id="rId9"/>
      <w:footerReference w:type="default" r:id="rId10"/>
      <w:headerReference w:type="first" r:id="rId11"/>
      <w:footerReference w:type="first" r:id="rId12"/>
      <w:pgSz w:w="12240" w:h="18720" w:code="14"/>
      <w:pgMar w:top="1701" w:right="1418" w:bottom="1701" w:left="1418"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FD85" w14:textId="77777777" w:rsidR="00150CC5" w:rsidRDefault="00150CC5">
      <w:r>
        <w:separator/>
      </w:r>
    </w:p>
  </w:endnote>
  <w:endnote w:type="continuationSeparator" w:id="0">
    <w:p w14:paraId="437D9EC1" w14:textId="77777777" w:rsidR="00150CC5" w:rsidRDefault="00150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Berylum">
    <w:altName w:val="Cambria"/>
    <w:charset w:val="00"/>
    <w:family w:val="roman"/>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FB2CB" w14:textId="77777777" w:rsidR="002776C6" w:rsidRDefault="00150CC5">
    <w:pPr>
      <w:pStyle w:val="Piedepgina"/>
      <w:jc w:val="center"/>
      <w:rPr>
        <w:rFonts w:ascii="Berylum" w:hAnsi="Berylum"/>
        <w:bCs/>
        <w:iCs/>
        <w:sz w:val="22"/>
        <w:szCs w:val="22"/>
      </w:rPr>
    </w:pPr>
    <w:r>
      <w:rPr>
        <w:rFonts w:ascii="Berylum" w:hAnsi="Berylum"/>
        <w:bCs/>
        <w:iCs/>
        <w:sz w:val="22"/>
        <w:szCs w:val="22"/>
      </w:rPr>
      <w:t>Carrera 23 No. 21 – 48  Palacio de Justicia Tel: (6) 8879635  - Fax. (6) 8879637</w:t>
    </w:r>
  </w:p>
  <w:p w14:paraId="3EEACBC5" w14:textId="77777777" w:rsidR="002776C6" w:rsidRDefault="00150CC5">
    <w:pPr>
      <w:pStyle w:val="Piedepgina"/>
      <w:jc w:val="center"/>
      <w:rPr>
        <w:rFonts w:ascii="Berylum" w:hAnsi="Berylum"/>
        <w:bCs/>
        <w:iCs/>
        <w:sz w:val="22"/>
        <w:szCs w:val="22"/>
      </w:rPr>
    </w:pPr>
    <w:r>
      <w:rPr>
        <w:rFonts w:ascii="Berylum" w:hAnsi="Berylum"/>
        <w:bCs/>
        <w:iCs/>
        <w:sz w:val="22"/>
        <w:szCs w:val="22"/>
      </w:rPr>
      <w:t>www.ramajudicial.gov.co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227A3" w14:textId="77777777" w:rsidR="002776C6" w:rsidRDefault="00150CC5">
    <w:pPr>
      <w:pStyle w:val="Piedepgina"/>
      <w:tabs>
        <w:tab w:val="left" w:pos="7371"/>
      </w:tabs>
      <w:rPr>
        <w:rFonts w:ascii="Berylum" w:hAnsi="Berylum"/>
        <w:bCs/>
        <w:iCs/>
        <w:sz w:val="22"/>
        <w:szCs w:val="22"/>
      </w:rPr>
    </w:pPr>
    <w:r>
      <w:rPr>
        <w:rFonts w:ascii="Berylum" w:hAnsi="Berylum"/>
        <w:bCs/>
        <w:iCs/>
        <w:sz w:val="22"/>
        <w:szCs w:val="22"/>
      </w:rPr>
      <w:pict w14:anchorId="1491BFE7">
        <v:group id="Grupo 10" o:spid="_x0000_s3104" style="position:absolute;margin-left:366.75pt;margin-top:-24pt;width:85.5pt;height:78.1pt;z-index:1" coordsize="10861,9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2" type="#_x0000_t75" alt="Logo-IQNet AZUL" style="position:absolute;left:6304;top:1606;width:4556;height:4686">
            <v:imagedata r:id="rId1" o:title="" croptop="3856f" cropbottom="4819f" cropleft="4819f" cropright="2891f"/>
          </v:shape>
          <v:rect id="Rectángulo 3" o:spid="_x0000_s3105" alt="Logo-IQNet AZUL" style="position:absolute;top:7901;width:6671;height:2018;mso-wrap-style:none" filled="f" stroked="f">
            <v:textbox style="mso-next-textbox:#Rectángulo 3;mso-fit-shape-to-text:t">
              <w:txbxContent>
                <w:p w14:paraId="367BAD5A" w14:textId="77777777" w:rsidR="002776C6" w:rsidRDefault="00150CC5">
                  <w:pPr>
                    <w:pStyle w:val="NormalWeb"/>
                    <w:spacing w:before="0" w:beforeAutospacing="0" w:after="0" w:afterAutospacing="0" w:line="256" w:lineRule="auto"/>
                  </w:pPr>
                  <w:r>
                    <w:rPr>
                      <w:rFonts w:ascii="Arial" w:hAnsi="Arial"/>
                      <w:color w:val="000000"/>
                      <w:kern w:val="24"/>
                      <w:sz w:val="14"/>
                      <w:szCs w:val="14"/>
                      <w:lang w:val="es-CO"/>
                    </w:rPr>
                    <w:t>SC5780-4-6</w:t>
                  </w:r>
                </w:p>
              </w:txbxContent>
            </v:textbox>
          </v:rect>
          <v:shape id="Picture 3" o:spid="_x0000_s2054" type="#_x0000_t75" alt="Sello-ICONTEC_ISO-9001 AZUL" style="position:absolute;left:674;width:5320;height:7901">
            <v:imagedata r:id="rId2" o:title="" croptop="3710f" cropbottom="3710f" cropleft="4977f" cropright="5807f"/>
          </v:shape>
        </v:group>
      </w:pict>
    </w:r>
    <w:r>
      <w:rPr>
        <w:rFonts w:ascii="Berylum" w:hAnsi="Berylum"/>
        <w:bCs/>
        <w:iCs/>
        <w:sz w:val="22"/>
        <w:szCs w:val="22"/>
      </w:rPr>
      <w:t>Carrera 23 No. 21 – 48  Palacio de Justicia Tel: (6) 8879635  - Fax. (6) 8879637</w:t>
    </w:r>
  </w:p>
  <w:p w14:paraId="3077573B" w14:textId="77777777" w:rsidR="002776C6" w:rsidRDefault="00150CC5">
    <w:pPr>
      <w:pStyle w:val="Piedepgina"/>
      <w:rPr>
        <w:rFonts w:ascii="Berylum" w:hAnsi="Berylum"/>
        <w:bCs/>
        <w:iCs/>
        <w:sz w:val="22"/>
        <w:szCs w:val="22"/>
      </w:rPr>
    </w:pPr>
    <w:r>
      <w:rPr>
        <w:rFonts w:ascii="Berylum" w:hAnsi="Berylum"/>
        <w:bCs/>
        <w:iCs/>
        <w:sz w:val="22"/>
        <w:szCs w:val="22"/>
      </w:rPr>
      <w:t>www.ramajudicial.gov.co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80579" w14:textId="77777777" w:rsidR="00150CC5" w:rsidRDefault="00150CC5">
      <w:r>
        <w:separator/>
      </w:r>
    </w:p>
  </w:footnote>
  <w:footnote w:type="continuationSeparator" w:id="0">
    <w:p w14:paraId="4B28D192" w14:textId="77777777" w:rsidR="00150CC5" w:rsidRDefault="00150CC5">
      <w:r>
        <w:continuationSeparator/>
      </w:r>
    </w:p>
  </w:footnote>
  <w:footnote w:id="1">
    <w:p w14:paraId="2173B48C" w14:textId="77777777" w:rsidR="002865FE" w:rsidRPr="00930AAC" w:rsidRDefault="002865FE" w:rsidP="002865FE">
      <w:pPr>
        <w:pStyle w:val="Centro"/>
        <w:jc w:val="both"/>
        <w:rPr>
          <w:sz w:val="14"/>
          <w:szCs w:val="14"/>
        </w:rPr>
      </w:pPr>
      <w:r>
        <w:rPr>
          <w:rStyle w:val="Refdenotaalpie"/>
        </w:rPr>
        <w:footnoteRef/>
      </w:r>
      <w:r>
        <w:t xml:space="preserve"> </w:t>
      </w:r>
      <w:r w:rsidRPr="00930AAC">
        <w:rPr>
          <w:sz w:val="14"/>
          <w:szCs w:val="14"/>
        </w:rPr>
        <w:t>“Por el cual se establece el sistema de información de gestión de procesos y manejo documental (Justicia XXI)”.</w:t>
      </w:r>
    </w:p>
  </w:footnote>
  <w:footnote w:id="2">
    <w:p w14:paraId="6EE21E05" w14:textId="77777777" w:rsidR="002865FE" w:rsidRPr="00EA2BFD" w:rsidRDefault="002865FE" w:rsidP="002865FE">
      <w:pPr>
        <w:pStyle w:val="Textonotapie"/>
        <w:jc w:val="both"/>
        <w:rPr>
          <w:rFonts w:ascii="Arial" w:hAnsi="Arial"/>
          <w:i/>
          <w:iCs/>
          <w:sz w:val="14"/>
          <w:szCs w:val="14"/>
          <w:lang w:val="es-ES" w:eastAsia="es-ES"/>
        </w:rPr>
      </w:pPr>
      <w:r>
        <w:rPr>
          <w:rStyle w:val="Refdenotaalpie"/>
        </w:rPr>
        <w:footnoteRef/>
      </w:r>
      <w:r>
        <w:t xml:space="preserve"> </w:t>
      </w:r>
      <w:r w:rsidRPr="0080062D">
        <w:rPr>
          <w:rFonts w:ascii="Arial" w:hAnsi="Arial"/>
          <w:sz w:val="14"/>
          <w:szCs w:val="14"/>
          <w:lang w:val="es-ES" w:eastAsia="es-ES"/>
        </w:rPr>
        <w:t xml:space="preserve">Acuerdo PSAA14-10215 </w:t>
      </w:r>
      <w:r w:rsidRPr="00EA2BFD">
        <w:rPr>
          <w:rFonts w:ascii="Arial" w:hAnsi="Arial"/>
          <w:i/>
          <w:iCs/>
          <w:sz w:val="14"/>
          <w:szCs w:val="14"/>
          <w:lang w:val="es-ES" w:eastAsia="es-ES"/>
        </w:rPr>
        <w:t>“Por el cual se autoriza la adecuación del sistema de información de gestión de procesos y manejo documental (Justicia XXI) en ambiente Web”.</w:t>
      </w:r>
    </w:p>
  </w:footnote>
  <w:footnote w:id="3">
    <w:p w14:paraId="6865820D" w14:textId="77777777" w:rsidR="00E8334C" w:rsidRDefault="00E8334C" w:rsidP="00E8334C">
      <w:pPr>
        <w:pStyle w:val="Textonotapie"/>
        <w:rPr>
          <w:rFonts w:ascii="Arial" w:hAnsi="Arial" w:cs="Arial"/>
          <w:sz w:val="14"/>
          <w:szCs w:val="14"/>
        </w:rPr>
      </w:pPr>
      <w:r>
        <w:rPr>
          <w:rStyle w:val="Refdenotaalpie"/>
          <w:rFonts w:ascii="Arial" w:hAnsi="Arial" w:cs="Arial"/>
          <w:color w:val="000000"/>
          <w:sz w:val="14"/>
          <w:szCs w:val="14"/>
        </w:rPr>
        <w:footnoteRef/>
      </w:r>
      <w:r>
        <w:rPr>
          <w:rFonts w:ascii="Arial" w:hAnsi="Arial" w:cs="Arial"/>
          <w:sz w:val="14"/>
          <w:szCs w:val="14"/>
        </w:rPr>
        <w:t xml:space="preserve"> Corte Constitucional, sentencia SU-424 de 2021.</w:t>
      </w:r>
    </w:p>
  </w:footnote>
  <w:footnote w:id="4">
    <w:p w14:paraId="193B115B" w14:textId="77777777" w:rsidR="00E8334C" w:rsidRDefault="00E8334C" w:rsidP="00E8334C">
      <w:pPr>
        <w:pStyle w:val="Textonotapie"/>
        <w:rPr>
          <w:rFonts w:ascii="Arial" w:hAnsi="Arial" w:cs="Arial"/>
          <w:sz w:val="14"/>
          <w:szCs w:val="14"/>
        </w:rPr>
      </w:pPr>
      <w:r>
        <w:rPr>
          <w:rStyle w:val="Refdenotaalpie"/>
          <w:rFonts w:ascii="Arial" w:hAnsi="Arial" w:cs="Arial"/>
          <w:color w:val="000000"/>
          <w:sz w:val="14"/>
          <w:szCs w:val="14"/>
        </w:rPr>
        <w:footnoteRef/>
      </w:r>
      <w:proofErr w:type="spellStart"/>
      <w:r>
        <w:rPr>
          <w:rFonts w:ascii="Arial" w:hAnsi="Arial" w:cs="Arial"/>
          <w:sz w:val="14"/>
          <w:szCs w:val="14"/>
        </w:rPr>
        <w:t>orte</w:t>
      </w:r>
      <w:proofErr w:type="spellEnd"/>
      <w:r>
        <w:rPr>
          <w:rFonts w:ascii="Arial" w:hAnsi="Arial" w:cs="Arial"/>
          <w:sz w:val="14"/>
          <w:szCs w:val="14"/>
        </w:rPr>
        <w:t xml:space="preserve"> Constitucional, sentencia T-050e 2023.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D5AA2" w14:textId="77777777" w:rsidR="002776C6" w:rsidRDefault="002776C6">
    <w:pPr>
      <w:jc w:val="both"/>
      <w:rPr>
        <w:rFonts w:ascii="Arial" w:hAnsi="Arial" w:cs="Arial"/>
        <w:sz w:val="16"/>
        <w:szCs w:val="16"/>
      </w:rPr>
    </w:pPr>
  </w:p>
  <w:p w14:paraId="5CEAB5C4" w14:textId="7F74429B" w:rsidR="002776C6" w:rsidRDefault="00150CC5">
    <w:pPr>
      <w:jc w:val="both"/>
      <w:rPr>
        <w:rFonts w:ascii="Arial" w:hAnsi="Arial" w:cs="Arial"/>
        <w:lang w:val="es-CO"/>
      </w:rPr>
    </w:pPr>
    <w:r>
      <w:rPr>
        <w:rFonts w:ascii="Berylium" w:hAnsi="Berylium"/>
        <w:bCs/>
        <w:iCs/>
        <w:sz w:val="22"/>
        <w:szCs w:val="22"/>
      </w:rPr>
      <w:t xml:space="preserve">Hoja No. </w:t>
    </w:r>
    <w:r>
      <w:rPr>
        <w:rFonts w:ascii="Berylium" w:hAnsi="Berylium"/>
        <w:bCs/>
        <w:iCs/>
        <w:sz w:val="22"/>
        <w:szCs w:val="22"/>
      </w:rPr>
      <w:fldChar w:fldCharType="begin"/>
    </w:r>
    <w:r>
      <w:rPr>
        <w:rFonts w:ascii="Berylium" w:hAnsi="Berylium"/>
        <w:bCs/>
        <w:iCs/>
        <w:sz w:val="22"/>
        <w:szCs w:val="22"/>
      </w:rPr>
      <w:instrText xml:space="preserve"> PAGE </w:instrText>
    </w:r>
    <w:r>
      <w:rPr>
        <w:rFonts w:ascii="Berylium" w:hAnsi="Berylium"/>
        <w:bCs/>
        <w:iCs/>
        <w:sz w:val="22"/>
        <w:szCs w:val="22"/>
      </w:rPr>
      <w:fldChar w:fldCharType="separate"/>
    </w:r>
    <w:r>
      <w:rPr>
        <w:rFonts w:ascii="Berylium" w:hAnsi="Berylium"/>
        <w:bCs/>
        <w:iCs/>
        <w:sz w:val="22"/>
        <w:szCs w:val="22"/>
      </w:rPr>
      <w:t>#</w:t>
    </w:r>
    <w:r>
      <w:rPr>
        <w:rFonts w:ascii="Berylium" w:hAnsi="Berylium"/>
        <w:bCs/>
        <w:iCs/>
        <w:sz w:val="22"/>
        <w:szCs w:val="22"/>
      </w:rPr>
      <w:fldChar w:fldCharType="end"/>
    </w:r>
    <w:r>
      <w:rPr>
        <w:rFonts w:ascii="Berylium" w:hAnsi="Berylium"/>
        <w:bCs/>
        <w:iCs/>
        <w:sz w:val="22"/>
        <w:szCs w:val="22"/>
      </w:rPr>
      <w:t xml:space="preserve">  Oficio</w:t>
    </w:r>
    <w:r>
      <w:rPr>
        <w:rFonts w:ascii="Arial" w:hAnsi="Arial" w:cs="Arial"/>
        <w:lang w:val="es-CO"/>
      </w:rPr>
      <w:t xml:space="preserve"> </w:t>
    </w:r>
    <w:r w:rsidR="007F7CFF">
      <w:rPr>
        <w:rFonts w:ascii="Berylium" w:hAnsi="Berylium" w:cs="Arial"/>
        <w:sz w:val="22"/>
        <w:szCs w:val="22"/>
        <w:lang w:val="es-CO"/>
      </w:rPr>
      <w:t>CSJCAO25-1073</w:t>
    </w:r>
  </w:p>
  <w:p w14:paraId="334C13E5" w14:textId="77777777" w:rsidR="002776C6" w:rsidRDefault="002776C6">
    <w:pPr>
      <w:jc w:val="both"/>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CAFE8" w14:textId="77777777" w:rsidR="002776C6" w:rsidRDefault="00150CC5">
    <w:pPr>
      <w:pStyle w:val="Encabezado"/>
      <w:jc w:val="center"/>
      <w:rPr>
        <w:rFonts w:ascii="Berylium" w:hAnsi="Berylium"/>
        <w:bCs/>
        <w:iCs/>
        <w:sz w:val="22"/>
        <w:szCs w:val="22"/>
      </w:rPr>
    </w:pPr>
    <w:r>
      <w:rPr>
        <w:rFonts w:ascii="Berylium" w:hAnsi="Berylium"/>
        <w:bCs/>
        <w:iCs/>
        <w:noProof/>
        <w:sz w:val="22"/>
        <w:szCs w:val="22"/>
        <w:lang w:val="es-CO" w:eastAsia="es-CO"/>
      </w:rPr>
      <w:pict w14:anchorId="266F3D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103" type="#_x0000_t75" style="position:absolute;left:0;text-align:left;margin-left:-55.55pt;margin-top:-20.45pt;width:188.25pt;height:62.15pt;z-index:-1;mso-wrap-distance-left:9pt;mso-wrap-distance-top:0;mso-wrap-distance-right:9pt;mso-wrap-distance-bottom:0;mso-position-horizontal-relative:text;mso-position-vertical-relative:text">
          <v:imagedata r:id="rId1" o:title=""/>
        </v:shape>
      </w:pict>
    </w:r>
    <w:r>
      <w:rPr>
        <w:rFonts w:ascii="Berylium" w:hAnsi="Berylium"/>
        <w:bCs/>
        <w:iCs/>
        <w:sz w:val="22"/>
        <w:szCs w:val="22"/>
      </w:rPr>
      <w:t>Consejo Superior de la Judicatura</w:t>
    </w:r>
  </w:p>
  <w:p w14:paraId="7415589B" w14:textId="77777777" w:rsidR="002776C6" w:rsidRDefault="00150CC5">
    <w:pPr>
      <w:pStyle w:val="Encabezado"/>
      <w:jc w:val="center"/>
      <w:rPr>
        <w:rFonts w:ascii="Berylium" w:hAnsi="Berylium"/>
        <w:bCs/>
        <w:iCs/>
        <w:sz w:val="22"/>
        <w:szCs w:val="22"/>
      </w:rPr>
    </w:pPr>
    <w:r>
      <w:rPr>
        <w:rFonts w:ascii="Berylium" w:hAnsi="Berylium"/>
        <w:bCs/>
        <w:iCs/>
        <w:sz w:val="22"/>
        <w:szCs w:val="22"/>
      </w:rPr>
      <w:t>Consejo Seccional de la Judicatura de Caldas</w:t>
    </w:r>
  </w:p>
  <w:p w14:paraId="63D6BD68" w14:textId="77777777" w:rsidR="002776C6" w:rsidRDefault="002776C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0038E"/>
    <w:multiLevelType w:val="hybridMultilevel"/>
    <w:tmpl w:val="07A243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22D2722"/>
    <w:multiLevelType w:val="hybridMultilevel"/>
    <w:tmpl w:val="47BC43A4"/>
    <w:lvl w:ilvl="0" w:tplc="5B3A4D68">
      <w:start w:val="1"/>
      <w:numFmt w:val="decimal"/>
      <w:lvlText w:val="%1."/>
      <w:lvlJc w:val="left"/>
      <w:pPr>
        <w:ind w:left="360" w:hanging="360"/>
      </w:pPr>
      <w:rPr>
        <w:rFonts w:eastAsia="Calibri" w:hint="default"/>
        <w:b/>
        <w:bCs/>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doNotTrackMoves/>
  <w:defaultTabStop w:val="708"/>
  <w:hyphenationZone w:val="425"/>
  <w:characterSpacingControl w:val="doNotCompress"/>
  <w:savePreviewPicture/>
  <w:hdrShapeDefaults>
    <o:shapedefaults v:ext="edit" spidmax="3106"/>
    <o:shapelayout v:ext="edit">
      <o:idmap v:ext="edit" data="2,3"/>
    </o:shapelayout>
  </w:hdrShapeDefaults>
  <w:footnotePr>
    <w:footnote w:id="-1"/>
    <w:footnote w:id="0"/>
  </w:footnotePr>
  <w:endnotePr>
    <w:endnote w:id="-1"/>
    <w:endnote w:id="0"/>
  </w:endnotePr>
  <w:compat>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76C6"/>
    <w:rsid w:val="00003C52"/>
    <w:rsid w:val="0000599C"/>
    <w:rsid w:val="00061FDC"/>
    <w:rsid w:val="000671FD"/>
    <w:rsid w:val="000A7F9A"/>
    <w:rsid w:val="000B1F79"/>
    <w:rsid w:val="000C7D84"/>
    <w:rsid w:val="000F3D63"/>
    <w:rsid w:val="001414B7"/>
    <w:rsid w:val="00150CC5"/>
    <w:rsid w:val="00157E15"/>
    <w:rsid w:val="001631F9"/>
    <w:rsid w:val="00171397"/>
    <w:rsid w:val="00186617"/>
    <w:rsid w:val="001A2B2D"/>
    <w:rsid w:val="001B7AA9"/>
    <w:rsid w:val="001D498F"/>
    <w:rsid w:val="001D6E8F"/>
    <w:rsid w:val="001E4B5E"/>
    <w:rsid w:val="00202D96"/>
    <w:rsid w:val="00240FF3"/>
    <w:rsid w:val="0026348E"/>
    <w:rsid w:val="002776C6"/>
    <w:rsid w:val="002865FE"/>
    <w:rsid w:val="002A14F2"/>
    <w:rsid w:val="002A4F5A"/>
    <w:rsid w:val="002C4E55"/>
    <w:rsid w:val="00312460"/>
    <w:rsid w:val="00312BED"/>
    <w:rsid w:val="003134FD"/>
    <w:rsid w:val="003135FD"/>
    <w:rsid w:val="00321F99"/>
    <w:rsid w:val="00324CEC"/>
    <w:rsid w:val="00331258"/>
    <w:rsid w:val="00333EA2"/>
    <w:rsid w:val="003527E4"/>
    <w:rsid w:val="0035416D"/>
    <w:rsid w:val="0036251E"/>
    <w:rsid w:val="003A4352"/>
    <w:rsid w:val="003B4E17"/>
    <w:rsid w:val="003E1BBF"/>
    <w:rsid w:val="00405301"/>
    <w:rsid w:val="00413B77"/>
    <w:rsid w:val="00420BB4"/>
    <w:rsid w:val="004419E5"/>
    <w:rsid w:val="00447360"/>
    <w:rsid w:val="0045732E"/>
    <w:rsid w:val="004577D7"/>
    <w:rsid w:val="004844FC"/>
    <w:rsid w:val="004D5692"/>
    <w:rsid w:val="004D5E0B"/>
    <w:rsid w:val="00516A44"/>
    <w:rsid w:val="005264A1"/>
    <w:rsid w:val="00546E9A"/>
    <w:rsid w:val="00554DD6"/>
    <w:rsid w:val="0058039B"/>
    <w:rsid w:val="005836A5"/>
    <w:rsid w:val="005A26B2"/>
    <w:rsid w:val="005B29E8"/>
    <w:rsid w:val="005B62A2"/>
    <w:rsid w:val="005C40CA"/>
    <w:rsid w:val="005C609C"/>
    <w:rsid w:val="005E5B9C"/>
    <w:rsid w:val="00602590"/>
    <w:rsid w:val="00612B2F"/>
    <w:rsid w:val="00622605"/>
    <w:rsid w:val="0064168D"/>
    <w:rsid w:val="006767AC"/>
    <w:rsid w:val="006A11D0"/>
    <w:rsid w:val="006A3E73"/>
    <w:rsid w:val="006A6EDB"/>
    <w:rsid w:val="006A6EE2"/>
    <w:rsid w:val="006B440C"/>
    <w:rsid w:val="006B4723"/>
    <w:rsid w:val="006E4445"/>
    <w:rsid w:val="00703B52"/>
    <w:rsid w:val="00733A82"/>
    <w:rsid w:val="007405BC"/>
    <w:rsid w:val="007573EA"/>
    <w:rsid w:val="00760F70"/>
    <w:rsid w:val="00770D70"/>
    <w:rsid w:val="007A4A9D"/>
    <w:rsid w:val="007C62F2"/>
    <w:rsid w:val="007F7CFF"/>
    <w:rsid w:val="00805006"/>
    <w:rsid w:val="008066F3"/>
    <w:rsid w:val="0081180B"/>
    <w:rsid w:val="00811C6B"/>
    <w:rsid w:val="00822B10"/>
    <w:rsid w:val="00836EB2"/>
    <w:rsid w:val="0083771F"/>
    <w:rsid w:val="00843B3F"/>
    <w:rsid w:val="00847324"/>
    <w:rsid w:val="00850294"/>
    <w:rsid w:val="00861D89"/>
    <w:rsid w:val="00866711"/>
    <w:rsid w:val="0087285B"/>
    <w:rsid w:val="008876C4"/>
    <w:rsid w:val="00891708"/>
    <w:rsid w:val="00897083"/>
    <w:rsid w:val="008A122B"/>
    <w:rsid w:val="008C6BD2"/>
    <w:rsid w:val="008D653C"/>
    <w:rsid w:val="008E0F52"/>
    <w:rsid w:val="00926555"/>
    <w:rsid w:val="0093598A"/>
    <w:rsid w:val="00940D88"/>
    <w:rsid w:val="00951FDE"/>
    <w:rsid w:val="00955494"/>
    <w:rsid w:val="009A5C81"/>
    <w:rsid w:val="009D3C0F"/>
    <w:rsid w:val="009E22CC"/>
    <w:rsid w:val="00A04A3C"/>
    <w:rsid w:val="00A10175"/>
    <w:rsid w:val="00A76EA8"/>
    <w:rsid w:val="00A814BC"/>
    <w:rsid w:val="00A81881"/>
    <w:rsid w:val="00A81F3C"/>
    <w:rsid w:val="00A843DD"/>
    <w:rsid w:val="00A976B8"/>
    <w:rsid w:val="00AB1191"/>
    <w:rsid w:val="00AD4435"/>
    <w:rsid w:val="00AE059C"/>
    <w:rsid w:val="00AE2332"/>
    <w:rsid w:val="00B12395"/>
    <w:rsid w:val="00B21C83"/>
    <w:rsid w:val="00B3052E"/>
    <w:rsid w:val="00B45A18"/>
    <w:rsid w:val="00B572C0"/>
    <w:rsid w:val="00B718F3"/>
    <w:rsid w:val="00B71B14"/>
    <w:rsid w:val="00B919F6"/>
    <w:rsid w:val="00B932B1"/>
    <w:rsid w:val="00BA7EE3"/>
    <w:rsid w:val="00BB3491"/>
    <w:rsid w:val="00BF200E"/>
    <w:rsid w:val="00C15E00"/>
    <w:rsid w:val="00C22190"/>
    <w:rsid w:val="00C257CD"/>
    <w:rsid w:val="00C670F3"/>
    <w:rsid w:val="00C87C32"/>
    <w:rsid w:val="00CC2F5F"/>
    <w:rsid w:val="00CC3FFB"/>
    <w:rsid w:val="00CD6B02"/>
    <w:rsid w:val="00D85530"/>
    <w:rsid w:val="00D9166F"/>
    <w:rsid w:val="00DA1B1E"/>
    <w:rsid w:val="00DB191B"/>
    <w:rsid w:val="00DD599A"/>
    <w:rsid w:val="00E8334C"/>
    <w:rsid w:val="00EA069F"/>
    <w:rsid w:val="00EB2BDF"/>
    <w:rsid w:val="00EC3158"/>
    <w:rsid w:val="00F1363E"/>
    <w:rsid w:val="00F25521"/>
    <w:rsid w:val="00F54A46"/>
    <w:rsid w:val="00F55892"/>
    <w:rsid w:val="00F60126"/>
    <w:rsid w:val="00F83B8A"/>
    <w:rsid w:val="00FA12F5"/>
    <w:rsid w:val="00FA28C2"/>
    <w:rsid w:val="00FC14F1"/>
    <w:rsid w:val="00FC4A89"/>
    <w:rsid w:val="00FF129B"/>
    <w:rsid w:val="00FF66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106"/>
    <o:shapelayout v:ext="edit">
      <o:idmap v:ext="edit" data="1"/>
    </o:shapelayout>
  </w:shapeDefaults>
  <w:decimalSymbol w:val=","/>
  <w:listSeparator w:val=";"/>
  <w14:docId w14:val="28F82379"/>
  <w15:docId w15:val="{C1571CDF-4C5E-4422-8DE2-977166CFD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paragraph" w:styleId="Ttulo5">
    <w:name w:val="heading 5"/>
    <w:basedOn w:val="Normal"/>
    <w:next w:val="Normal"/>
    <w:link w:val="Ttulo5Car"/>
    <w:uiPriority w:val="9"/>
    <w:semiHidden/>
    <w:unhideWhenUsed/>
    <w:qFormat/>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NormalWeb">
    <w:name w:val="Normal (Web)"/>
    <w:basedOn w:val="Normal"/>
    <w:pPr>
      <w:spacing w:before="100" w:beforeAutospacing="1" w:after="100" w:afterAutospacing="1"/>
    </w:pPr>
  </w:style>
  <w:style w:type="paragraph" w:styleId="Textonotapie">
    <w:name w:val="footnote text"/>
    <w:aliases w:val="Footnote Text Char Char Char Char Char,Footnote Text Char Char Char Char,Footnote reference,FA Fu,texto de nota al pie,Footnote Text Char Char Char,Footnote Text Char,Footnote Text Char Char Char Char Char Char Char Cha,texto de nota al p"/>
    <w:link w:val="TextonotapieCar"/>
    <w:uiPriority w:val="99"/>
    <w:qFormat/>
    <w:rPr>
      <w:lang w:val="es-MX" w:eastAsia="es-MX"/>
    </w:rPr>
  </w:style>
  <w:style w:type="paragraph" w:styleId="Textonotaalfinal">
    <w:name w:val="endnote text"/>
    <w:link w:val="TextonotaalfinalCar"/>
    <w:semiHidden/>
    <w:rPr>
      <w:lang w:val="es-MX" w:eastAsia="es-MX"/>
    </w:rPr>
  </w:style>
  <w:style w:type="character" w:styleId="Nmerodelnea">
    <w:name w:val="line number"/>
    <w:basedOn w:val="Fuentedeprrafopredeter"/>
    <w:semiHidden/>
  </w:style>
  <w:style w:type="character" w:styleId="Hipervnculo">
    <w:name w:val="Hyperlink"/>
    <w:rPr>
      <w:color w:val="0000FF"/>
      <w:u w:val="single"/>
    </w:rPr>
  </w:style>
  <w:style w:type="character" w:styleId="Nmerodepgina">
    <w:name w:val="page number"/>
    <w:basedOn w:val="Fuentedeprrafopredeter"/>
  </w:style>
  <w:style w:type="character" w:customStyle="1" w:styleId="PiedepginaCar">
    <w:name w:val="Pie de página Car"/>
    <w:link w:val="Piedepgina"/>
    <w:rPr>
      <w:sz w:val="24"/>
      <w:szCs w:val="24"/>
      <w:lang w:val="es-ES" w:eastAsia="es-ES"/>
    </w:rPr>
  </w:style>
  <w:style w:type="character" w:customStyle="1" w:styleId="Ttulo5Car">
    <w:name w:val="Título 5 Car"/>
    <w:link w:val="Ttulo5"/>
    <w:rPr>
      <w:rFonts w:ascii="Tahoma" w:eastAsia="Arial Unicode MS" w:hAnsi="Tahoma" w:cs="Tahoma"/>
      <w:b/>
      <w:bCs/>
      <w:sz w:val="24"/>
      <w:szCs w:val="24"/>
      <w:lang w:eastAsia="es-ES"/>
    </w:rPr>
  </w:style>
  <w:style w:type="character" w:customStyle="1" w:styleId="EncabezadoCar">
    <w:name w:val="Encabezado Car"/>
    <w:link w:val="Encabezado"/>
    <w:rPr>
      <w:sz w:val="24"/>
      <w:szCs w:val="24"/>
      <w:lang w:val="es-ES" w:eastAsia="es-ES"/>
    </w:rPr>
  </w:style>
  <w:style w:type="character" w:styleId="Refdenotaalpie">
    <w:name w:val="footnote reference"/>
    <w:aliases w:val="Texto de nota al pie,referencia nota al pie,Footnotes refss,Appel note de bas de page,Fago Fußnotenzeichen,Footnote number,BVI fnr,f,4_G,16 Point,Superscript 6 Point,Texto nota al pie,Ref. de nota al pie 2,Texto nota pie Car2,F,FC,R"/>
    <w:link w:val="Piedepagina"/>
    <w:uiPriority w:val="99"/>
    <w:qFormat/>
    <w:rPr>
      <w:vertAlign w:val="superscript"/>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Footnote Text Char Car,texto de nota al p Car"/>
    <w:link w:val="Textonotapie"/>
    <w:uiPriority w:val="99"/>
    <w:qFormat/>
    <w:rPr>
      <w:sz w:val="20"/>
      <w:szCs w:val="20"/>
    </w:rPr>
  </w:style>
  <w:style w:type="character" w:styleId="Refdenotaalfinal">
    <w:name w:val="endnote reference"/>
    <w:semiHidden/>
    <w:rPr>
      <w:vertAlign w:val="superscript"/>
    </w:rPr>
  </w:style>
  <w:style w:type="character" w:customStyle="1" w:styleId="TextonotaalfinalCar">
    <w:name w:val="Texto nota al final Car"/>
    <w:link w:val="Textonotaalfinal"/>
    <w:semiHidden/>
    <w:rPr>
      <w:sz w:val="20"/>
      <w:szCs w:val="20"/>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qFormat/>
    <w:rsid w:val="002865FE"/>
    <w:pPr>
      <w:ind w:left="720"/>
      <w:contextualSpacing/>
    </w:pPr>
  </w:style>
  <w:style w:type="paragraph" w:customStyle="1" w:styleId="Default">
    <w:name w:val="Default"/>
    <w:rsid w:val="002865FE"/>
    <w:pPr>
      <w:autoSpaceDE w:val="0"/>
      <w:autoSpaceDN w:val="0"/>
      <w:adjustRightInd w:val="0"/>
    </w:pPr>
    <w:rPr>
      <w:color w:val="000000"/>
      <w:sz w:val="24"/>
      <w:szCs w:val="24"/>
      <w:lang w:eastAsia="es-MX"/>
    </w:rPr>
  </w:style>
  <w:style w:type="paragraph" w:customStyle="1" w:styleId="Piedepagina">
    <w:name w:val="Pie de pagina"/>
    <w:aliases w:val="Nota de pie,Ref. de nota al pie2"/>
    <w:basedOn w:val="Normal"/>
    <w:link w:val="Refdenotaalpie"/>
    <w:uiPriority w:val="99"/>
    <w:qFormat/>
    <w:rsid w:val="002865FE"/>
    <w:pPr>
      <w:spacing w:after="160" w:line="240" w:lineRule="exact"/>
    </w:pPr>
    <w:rPr>
      <w:sz w:val="20"/>
      <w:szCs w:val="22"/>
      <w:vertAlign w:val="superscript"/>
      <w:lang w:val="es-MX" w:eastAsia="es-MX"/>
    </w:rPr>
  </w:style>
  <w:style w:type="paragraph" w:customStyle="1" w:styleId="Centro">
    <w:name w:val="Centro"/>
    <w:rsid w:val="002865FE"/>
    <w:pPr>
      <w:jc w:val="center"/>
    </w:pPr>
    <w:rPr>
      <w:rFonts w:ascii="Arial" w:hAnsi="Arial"/>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ecsalalab@cendoj.ramajudicial.gov.c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D20B0-6E91-40D5-83FF-840517F62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760</Words>
  <Characters>4182</Characters>
  <Application>Microsoft Office Word</Application>
  <DocSecurity>0</DocSecurity>
  <Lines>34</Lines>
  <Paragraphs>9</Paragraphs>
  <ScaleCrop>false</ScaleCrop>
  <Company>CSJ</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creator>CSJ</dc:creator>
  <cp:lastModifiedBy>Diana Maria Arenas Garcia</cp:lastModifiedBy>
  <cp:revision>175</cp:revision>
  <cp:lastPrinted>2025-06-09T14:57:00Z</cp:lastPrinted>
  <dcterms:created xsi:type="dcterms:W3CDTF">2020-07-29T16:31:00Z</dcterms:created>
  <dcterms:modified xsi:type="dcterms:W3CDTF">2025-06-09T15:04:00Z</dcterms:modified>
</cp:coreProperties>
</file>