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811E" w14:textId="5A486C52" w:rsidR="003F2FEC" w:rsidRPr="00422955" w:rsidRDefault="003F2FEC" w:rsidP="00E6450A">
      <w:pPr>
        <w:jc w:val="both"/>
        <w:rPr>
          <w:rFonts w:ascii="Arial" w:hAnsi="Arial" w:cs="Arial"/>
          <w:sz w:val="22"/>
          <w:szCs w:val="22"/>
          <w:lang w:val="es-CO"/>
        </w:rPr>
      </w:pPr>
      <w:r w:rsidRPr="00422955">
        <w:rPr>
          <w:rFonts w:ascii="Arial" w:hAnsi="Arial" w:cs="Arial"/>
          <w:sz w:val="22"/>
          <w:szCs w:val="22"/>
          <w:lang w:val="es-CO"/>
        </w:rPr>
        <w:t>CSJCAO25-</w:t>
      </w:r>
      <w:r w:rsidR="005C3E3A" w:rsidRPr="00422955">
        <w:rPr>
          <w:rFonts w:ascii="Arial" w:hAnsi="Arial" w:cs="Arial"/>
          <w:sz w:val="22"/>
          <w:szCs w:val="22"/>
          <w:lang w:val="es-CO"/>
        </w:rPr>
        <w:t>XXXX</w:t>
      </w:r>
    </w:p>
    <w:p w14:paraId="655C5102" w14:textId="5F9ACE91" w:rsidR="003F2FEC" w:rsidRPr="00422955" w:rsidRDefault="003F2FEC" w:rsidP="00E6450A">
      <w:pPr>
        <w:jc w:val="both"/>
        <w:rPr>
          <w:rFonts w:ascii="Arial" w:hAnsi="Arial" w:cs="Arial"/>
          <w:sz w:val="22"/>
          <w:szCs w:val="22"/>
          <w:lang w:val="es-CO"/>
        </w:rPr>
      </w:pPr>
      <w:r w:rsidRPr="00422955">
        <w:rPr>
          <w:rFonts w:ascii="Arial" w:hAnsi="Arial" w:cs="Arial"/>
          <w:sz w:val="22"/>
          <w:szCs w:val="22"/>
          <w:lang w:val="es-CO"/>
        </w:rPr>
        <w:t xml:space="preserve">Manizales, </w:t>
      </w:r>
      <w:r w:rsidR="006901E1" w:rsidRPr="00422955">
        <w:rPr>
          <w:rFonts w:ascii="Arial" w:hAnsi="Arial" w:cs="Arial"/>
          <w:sz w:val="22"/>
          <w:szCs w:val="22"/>
          <w:lang w:val="es-CO"/>
        </w:rPr>
        <w:t>20</w:t>
      </w:r>
      <w:r w:rsidR="005C3E3A" w:rsidRPr="00422955">
        <w:rPr>
          <w:rFonts w:ascii="Arial" w:hAnsi="Arial" w:cs="Arial"/>
          <w:sz w:val="22"/>
          <w:szCs w:val="22"/>
          <w:lang w:val="es-CO"/>
        </w:rPr>
        <w:t xml:space="preserve"> de junio d</w:t>
      </w:r>
      <w:r w:rsidRPr="00422955">
        <w:rPr>
          <w:rFonts w:ascii="Arial" w:hAnsi="Arial" w:cs="Arial"/>
          <w:sz w:val="22"/>
          <w:szCs w:val="22"/>
          <w:lang w:val="es-CO"/>
        </w:rPr>
        <w:t>e 2025</w:t>
      </w:r>
    </w:p>
    <w:p w14:paraId="219CB656" w14:textId="77777777" w:rsidR="003F2FEC" w:rsidRPr="00422955" w:rsidRDefault="003F2FEC" w:rsidP="00E6450A">
      <w:pPr>
        <w:jc w:val="both"/>
        <w:rPr>
          <w:rFonts w:ascii="Arial" w:hAnsi="Arial" w:cs="Arial"/>
          <w:sz w:val="22"/>
          <w:szCs w:val="22"/>
          <w:lang w:val="es-CO"/>
        </w:rPr>
      </w:pPr>
    </w:p>
    <w:p w14:paraId="140BB758" w14:textId="77777777" w:rsidR="003F2FEC" w:rsidRPr="00422955" w:rsidRDefault="003F2FEC" w:rsidP="00E6450A">
      <w:pPr>
        <w:jc w:val="both"/>
        <w:rPr>
          <w:rFonts w:ascii="Arial" w:hAnsi="Arial" w:cs="Arial"/>
          <w:sz w:val="22"/>
          <w:szCs w:val="22"/>
          <w:lang w:val="es-CO"/>
        </w:rPr>
      </w:pPr>
    </w:p>
    <w:p w14:paraId="208563FE" w14:textId="77777777" w:rsidR="003F2FEC" w:rsidRPr="00422955" w:rsidRDefault="003F2FEC" w:rsidP="00E6450A">
      <w:pPr>
        <w:jc w:val="both"/>
        <w:rPr>
          <w:rFonts w:ascii="Arial" w:eastAsia="Arial" w:hAnsi="Arial" w:cs="Arial"/>
          <w:sz w:val="22"/>
          <w:szCs w:val="22"/>
          <w:lang w:val="es-CO"/>
        </w:rPr>
      </w:pPr>
      <w:r w:rsidRPr="00422955">
        <w:rPr>
          <w:rFonts w:ascii="Arial" w:eastAsia="Arial" w:hAnsi="Arial" w:cs="Arial"/>
          <w:sz w:val="22"/>
          <w:szCs w:val="22"/>
          <w:lang w:val="es-CO"/>
        </w:rPr>
        <w:t>Doctor</w:t>
      </w:r>
    </w:p>
    <w:p w14:paraId="3859C384" w14:textId="77777777" w:rsidR="003F2FEC" w:rsidRPr="00422955" w:rsidRDefault="003F2FEC" w:rsidP="00E6450A">
      <w:pPr>
        <w:jc w:val="both"/>
        <w:rPr>
          <w:rFonts w:ascii="Arial" w:eastAsia="Arial" w:hAnsi="Arial" w:cs="Arial"/>
          <w:sz w:val="22"/>
          <w:szCs w:val="22"/>
          <w:lang w:val="es-CO"/>
        </w:rPr>
      </w:pPr>
      <w:r w:rsidRPr="00422955">
        <w:rPr>
          <w:rFonts w:ascii="Arial" w:eastAsia="Arial" w:hAnsi="Arial" w:cs="Arial"/>
          <w:b/>
          <w:bCs/>
          <w:sz w:val="22"/>
          <w:szCs w:val="22"/>
          <w:lang w:val="es-CO"/>
        </w:rPr>
        <w:t>JESÚS ALBERTO LÓPEZ GALVIS</w:t>
      </w:r>
    </w:p>
    <w:p w14:paraId="66AE7A4A" w14:textId="77777777" w:rsidR="003F2FEC" w:rsidRPr="00422955" w:rsidRDefault="003F2FEC" w:rsidP="00E6450A">
      <w:pPr>
        <w:jc w:val="both"/>
        <w:rPr>
          <w:rFonts w:ascii="Arial" w:eastAsia="Arial" w:hAnsi="Arial" w:cs="Arial"/>
          <w:sz w:val="22"/>
          <w:szCs w:val="22"/>
          <w:lang w:val="es-CO"/>
        </w:rPr>
      </w:pPr>
      <w:r w:rsidRPr="00422955">
        <w:rPr>
          <w:rFonts w:ascii="Arial" w:eastAsia="Arial" w:hAnsi="Arial" w:cs="Arial"/>
          <w:sz w:val="22"/>
          <w:szCs w:val="22"/>
          <w:lang w:val="es-CO"/>
        </w:rPr>
        <w:t>Presidente</w:t>
      </w:r>
    </w:p>
    <w:p w14:paraId="4E9652D5" w14:textId="77777777" w:rsidR="003F2FEC" w:rsidRPr="00422955" w:rsidRDefault="003F2FEC" w:rsidP="00E6450A">
      <w:pPr>
        <w:jc w:val="both"/>
        <w:rPr>
          <w:rFonts w:ascii="Arial" w:eastAsia="Arial" w:hAnsi="Arial" w:cs="Arial"/>
          <w:sz w:val="22"/>
          <w:szCs w:val="22"/>
          <w:lang w:val="es-CO"/>
        </w:rPr>
      </w:pPr>
      <w:proofErr w:type="spellStart"/>
      <w:r w:rsidRPr="00422955">
        <w:rPr>
          <w:rFonts w:ascii="Arial" w:eastAsia="Arial" w:hAnsi="Arial" w:cs="Arial"/>
          <w:sz w:val="22"/>
          <w:szCs w:val="22"/>
          <w:lang w:val="es-CO"/>
        </w:rPr>
        <w:t>Asonal</w:t>
      </w:r>
      <w:proofErr w:type="spellEnd"/>
      <w:r w:rsidRPr="00422955">
        <w:rPr>
          <w:rFonts w:ascii="Arial" w:eastAsia="Arial" w:hAnsi="Arial" w:cs="Arial"/>
          <w:sz w:val="22"/>
          <w:szCs w:val="22"/>
          <w:lang w:val="es-CO"/>
        </w:rPr>
        <w:t xml:space="preserve"> Judicial S. I. Subdirectiva Caldas</w:t>
      </w:r>
    </w:p>
    <w:p w14:paraId="77F48912" w14:textId="77777777" w:rsidR="003F2FEC" w:rsidRPr="00422955" w:rsidRDefault="000927BB" w:rsidP="00E6450A">
      <w:pPr>
        <w:jc w:val="both"/>
        <w:rPr>
          <w:rFonts w:ascii="Arial" w:eastAsia="Arial" w:hAnsi="Arial" w:cs="Arial"/>
          <w:sz w:val="22"/>
          <w:szCs w:val="22"/>
          <w:lang w:val="es-CO"/>
        </w:rPr>
      </w:pPr>
      <w:hyperlink r:id="rId8" w:history="1">
        <w:r w:rsidR="003F2FEC" w:rsidRPr="00422955">
          <w:rPr>
            <w:rStyle w:val="Hipervnculo"/>
            <w:rFonts w:ascii="Arial" w:hAnsi="Arial" w:cs="Arial"/>
            <w:sz w:val="22"/>
            <w:szCs w:val="22"/>
            <w:bdr w:val="none" w:sz="0" w:space="0" w:color="auto" w:frame="1"/>
            <w:shd w:val="clear" w:color="auto" w:fill="FFFFFF"/>
          </w:rPr>
          <w:t>asonal</w:t>
        </w:r>
        <w:r w:rsidR="003F2FEC" w:rsidRPr="00422955">
          <w:rPr>
            <w:rStyle w:val="Hipervnculo"/>
            <w:rFonts w:ascii="Arial" w:hAnsi="Arial" w:cs="Arial"/>
            <w:sz w:val="22"/>
            <w:szCs w:val="22"/>
            <w:shd w:val="clear" w:color="auto" w:fill="FFFFFF"/>
          </w:rPr>
          <w:t>sicaldassubdirectiva@gmail.com</w:t>
        </w:r>
      </w:hyperlink>
      <w:r w:rsidR="003F2FEC" w:rsidRPr="00422955">
        <w:rPr>
          <w:rFonts w:ascii="Arial" w:hAnsi="Arial" w:cs="Arial"/>
          <w:color w:val="000000"/>
          <w:sz w:val="22"/>
          <w:szCs w:val="22"/>
          <w:shd w:val="clear" w:color="auto" w:fill="FFFFFF"/>
        </w:rPr>
        <w:t xml:space="preserve"> </w:t>
      </w:r>
    </w:p>
    <w:p w14:paraId="7B3B739E" w14:textId="77777777" w:rsidR="003F2FEC" w:rsidRPr="00422955" w:rsidRDefault="003F2FEC" w:rsidP="00E6450A">
      <w:pPr>
        <w:jc w:val="both"/>
        <w:rPr>
          <w:rFonts w:ascii="Arial" w:eastAsia="Arial" w:hAnsi="Arial" w:cs="Arial"/>
          <w:sz w:val="22"/>
          <w:szCs w:val="22"/>
          <w:lang w:val="es-CO"/>
        </w:rPr>
      </w:pPr>
      <w:r w:rsidRPr="00422955">
        <w:rPr>
          <w:rFonts w:ascii="Arial" w:eastAsia="Arial" w:hAnsi="Arial" w:cs="Arial"/>
          <w:sz w:val="22"/>
          <w:szCs w:val="22"/>
          <w:lang w:val="es-CO"/>
        </w:rPr>
        <w:t>Manizales</w:t>
      </w:r>
    </w:p>
    <w:p w14:paraId="5A8E1724" w14:textId="77777777" w:rsidR="003F2FEC" w:rsidRPr="00422955" w:rsidRDefault="003F2FEC" w:rsidP="00E6450A">
      <w:pPr>
        <w:jc w:val="both"/>
        <w:rPr>
          <w:rFonts w:ascii="Arial" w:eastAsia="Arial" w:hAnsi="Arial" w:cs="Arial"/>
          <w:sz w:val="22"/>
          <w:szCs w:val="22"/>
          <w:lang w:val="es-CO"/>
        </w:rPr>
      </w:pPr>
    </w:p>
    <w:p w14:paraId="181AA708" w14:textId="7559E528" w:rsidR="003F2FEC" w:rsidRPr="00422955" w:rsidRDefault="003F2FEC" w:rsidP="00E6450A">
      <w:pPr>
        <w:ind w:left="2832" w:hanging="1416"/>
        <w:jc w:val="both"/>
        <w:rPr>
          <w:rFonts w:ascii="Arial" w:eastAsia="Arial" w:hAnsi="Arial" w:cs="Arial"/>
          <w:sz w:val="22"/>
          <w:szCs w:val="22"/>
          <w:lang w:val="es-CO"/>
        </w:rPr>
      </w:pPr>
      <w:r w:rsidRPr="00422955">
        <w:rPr>
          <w:rFonts w:ascii="Arial" w:eastAsia="Arial" w:hAnsi="Arial" w:cs="Arial"/>
          <w:sz w:val="22"/>
          <w:szCs w:val="22"/>
          <w:lang w:val="es-CO"/>
        </w:rPr>
        <w:t>Asunto:</w:t>
      </w:r>
      <w:r w:rsidR="00A600B9" w:rsidRPr="00422955">
        <w:rPr>
          <w:rFonts w:ascii="Arial" w:eastAsia="Arial" w:hAnsi="Arial" w:cs="Arial"/>
          <w:sz w:val="22"/>
          <w:szCs w:val="22"/>
          <w:lang w:val="es-CO"/>
        </w:rPr>
        <w:tab/>
      </w:r>
      <w:r w:rsidR="001649B5" w:rsidRPr="00422955">
        <w:rPr>
          <w:rFonts w:ascii="Arial" w:eastAsia="Arial" w:hAnsi="Arial" w:cs="Arial"/>
          <w:sz w:val="22"/>
          <w:szCs w:val="22"/>
          <w:lang w:val="es-CO"/>
        </w:rPr>
        <w:t>Respuesta a solicitud aclaración del</w:t>
      </w:r>
      <w:r w:rsidR="00CB2A74" w:rsidRPr="00422955">
        <w:rPr>
          <w:rFonts w:ascii="Arial" w:eastAsia="Arial" w:hAnsi="Arial" w:cs="Arial"/>
          <w:sz w:val="22"/>
          <w:szCs w:val="22"/>
          <w:lang w:val="es-CO"/>
        </w:rPr>
        <w:t xml:space="preserve"> oficio</w:t>
      </w:r>
      <w:r w:rsidR="001A5527" w:rsidRPr="00422955">
        <w:rPr>
          <w:rFonts w:ascii="Arial" w:eastAsia="Arial" w:hAnsi="Arial" w:cs="Arial"/>
          <w:sz w:val="22"/>
          <w:szCs w:val="22"/>
          <w:lang w:val="es-CO"/>
        </w:rPr>
        <w:t xml:space="preserve"> CSJCAO25-362 </w:t>
      </w:r>
      <w:r w:rsidR="00C223AF" w:rsidRPr="00422955">
        <w:rPr>
          <w:rFonts w:ascii="Arial" w:eastAsia="Arial" w:hAnsi="Arial" w:cs="Arial"/>
          <w:sz w:val="22"/>
          <w:szCs w:val="22"/>
          <w:lang w:val="es-CO"/>
        </w:rPr>
        <w:t xml:space="preserve">respuesta a </w:t>
      </w:r>
      <w:r w:rsidRPr="00422955">
        <w:rPr>
          <w:rFonts w:ascii="Arial" w:eastAsia="Arial" w:hAnsi="Arial" w:cs="Arial"/>
          <w:sz w:val="22"/>
          <w:szCs w:val="22"/>
          <w:lang w:val="es-CO"/>
        </w:rPr>
        <w:t xml:space="preserve">derecho de petición </w:t>
      </w:r>
      <w:r w:rsidR="002B0370" w:rsidRPr="00422955">
        <w:rPr>
          <w:rFonts w:ascii="Arial" w:eastAsia="Arial" w:hAnsi="Arial" w:cs="Arial"/>
          <w:sz w:val="22"/>
          <w:szCs w:val="22"/>
          <w:lang w:val="es-CO"/>
        </w:rPr>
        <w:t xml:space="preserve">- </w:t>
      </w:r>
      <w:r w:rsidR="00A600B9" w:rsidRPr="00422955">
        <w:rPr>
          <w:rFonts w:ascii="Arial" w:eastAsia="Arial" w:hAnsi="Arial" w:cs="Arial"/>
          <w:sz w:val="22"/>
          <w:szCs w:val="22"/>
          <w:lang w:val="es-CO"/>
        </w:rPr>
        <w:t>del 3 de junio de 2025 – código interno de radicación</w:t>
      </w:r>
      <w:r w:rsidR="0029686F" w:rsidRPr="00422955">
        <w:rPr>
          <w:rFonts w:ascii="Arial" w:eastAsia="Arial" w:hAnsi="Arial" w:cs="Arial"/>
          <w:sz w:val="22"/>
          <w:szCs w:val="22"/>
          <w:lang w:val="es-CO"/>
        </w:rPr>
        <w:t xml:space="preserve"> </w:t>
      </w:r>
      <w:r w:rsidR="0029686F" w:rsidRPr="00422955">
        <w:rPr>
          <w:rFonts w:ascii="Arial" w:hAnsi="Arial" w:cs="Arial"/>
          <w:color w:val="000000"/>
          <w:sz w:val="22"/>
          <w:szCs w:val="22"/>
          <w:shd w:val="clear" w:color="auto" w:fill="FFFFFF"/>
        </w:rPr>
        <w:t>EXTCSJCA25-2676</w:t>
      </w:r>
    </w:p>
    <w:p w14:paraId="5186A769" w14:textId="7498B6A5" w:rsidR="003F2FEC" w:rsidRPr="00422955" w:rsidRDefault="003F2FEC" w:rsidP="00E6450A">
      <w:pPr>
        <w:jc w:val="both"/>
        <w:rPr>
          <w:rFonts w:ascii="Arial" w:eastAsia="Arial" w:hAnsi="Arial" w:cs="Arial"/>
          <w:sz w:val="22"/>
          <w:szCs w:val="22"/>
          <w:lang w:val="es-CO"/>
        </w:rPr>
      </w:pPr>
    </w:p>
    <w:p w14:paraId="21A3BBC0" w14:textId="77777777" w:rsidR="00F332DF" w:rsidRPr="00422955" w:rsidRDefault="00F332DF" w:rsidP="00E6450A">
      <w:pPr>
        <w:jc w:val="both"/>
        <w:rPr>
          <w:rFonts w:ascii="Arial" w:eastAsia="Arial" w:hAnsi="Arial" w:cs="Arial"/>
          <w:sz w:val="22"/>
          <w:szCs w:val="22"/>
          <w:lang w:val="es-CO"/>
        </w:rPr>
      </w:pPr>
    </w:p>
    <w:p w14:paraId="38CDA8AD" w14:textId="5EE9E512" w:rsidR="003F2FEC" w:rsidRPr="00422955" w:rsidRDefault="003F2FEC" w:rsidP="00E6450A">
      <w:pPr>
        <w:jc w:val="both"/>
        <w:rPr>
          <w:rFonts w:ascii="Arial" w:eastAsia="Arial" w:hAnsi="Arial" w:cs="Arial"/>
          <w:sz w:val="22"/>
          <w:szCs w:val="22"/>
          <w:lang w:val="es-CO"/>
        </w:rPr>
      </w:pPr>
      <w:r w:rsidRPr="00422955">
        <w:rPr>
          <w:rFonts w:ascii="Arial" w:eastAsia="Arial" w:hAnsi="Arial" w:cs="Arial"/>
          <w:sz w:val="22"/>
          <w:szCs w:val="22"/>
          <w:lang w:val="es-CO"/>
        </w:rPr>
        <w:t>Respetado doctor</w:t>
      </w:r>
      <w:r w:rsidR="00037A96" w:rsidRPr="00422955">
        <w:rPr>
          <w:rFonts w:ascii="Arial" w:eastAsia="Arial" w:hAnsi="Arial" w:cs="Arial"/>
          <w:sz w:val="22"/>
          <w:szCs w:val="22"/>
          <w:lang w:val="es-CO"/>
        </w:rPr>
        <w:t xml:space="preserve"> López Galvis</w:t>
      </w:r>
      <w:r w:rsidRPr="00422955">
        <w:rPr>
          <w:rFonts w:ascii="Arial" w:eastAsia="Arial" w:hAnsi="Arial" w:cs="Arial"/>
          <w:sz w:val="22"/>
          <w:szCs w:val="22"/>
          <w:lang w:val="es-CO"/>
        </w:rPr>
        <w:t>:</w:t>
      </w:r>
    </w:p>
    <w:p w14:paraId="44CCBE21" w14:textId="0FB74AC5" w:rsidR="003F2FEC" w:rsidRPr="00422955" w:rsidRDefault="003F2FEC" w:rsidP="00E6450A">
      <w:pPr>
        <w:jc w:val="both"/>
        <w:rPr>
          <w:rFonts w:ascii="Arial" w:eastAsia="Arial" w:hAnsi="Arial" w:cs="Arial"/>
          <w:sz w:val="22"/>
          <w:szCs w:val="22"/>
          <w:lang w:val="es-CO"/>
        </w:rPr>
      </w:pPr>
    </w:p>
    <w:p w14:paraId="00F15363" w14:textId="35497F0D" w:rsidR="004C3DB6" w:rsidRPr="00422955" w:rsidRDefault="00E15B60" w:rsidP="00E6450A">
      <w:pPr>
        <w:pStyle w:val="Default"/>
        <w:jc w:val="both"/>
        <w:rPr>
          <w:sz w:val="22"/>
          <w:szCs w:val="22"/>
        </w:rPr>
      </w:pPr>
      <w:r w:rsidRPr="00422955">
        <w:rPr>
          <w:sz w:val="22"/>
          <w:szCs w:val="22"/>
        </w:rPr>
        <w:t>Damos</w:t>
      </w:r>
      <w:r w:rsidR="00452E82" w:rsidRPr="00422955">
        <w:rPr>
          <w:sz w:val="22"/>
          <w:szCs w:val="22"/>
        </w:rPr>
        <w:t xml:space="preserve"> respuesta </w:t>
      </w:r>
      <w:r w:rsidR="00DB5805" w:rsidRPr="00422955">
        <w:rPr>
          <w:sz w:val="22"/>
          <w:szCs w:val="22"/>
        </w:rPr>
        <w:t>a la solicitud de información y de documentos de la referencia, de la siguiente manera:</w:t>
      </w:r>
    </w:p>
    <w:p w14:paraId="604F640C" w14:textId="0D34435C" w:rsidR="004C3DB6" w:rsidRPr="00422955" w:rsidRDefault="004C3DB6" w:rsidP="00E6450A">
      <w:pPr>
        <w:pStyle w:val="Default"/>
        <w:jc w:val="both"/>
        <w:rPr>
          <w:sz w:val="22"/>
          <w:szCs w:val="22"/>
        </w:rPr>
      </w:pPr>
    </w:p>
    <w:p w14:paraId="7A0AFB74" w14:textId="167009B0" w:rsidR="00681080" w:rsidRPr="00A173BA" w:rsidRDefault="00B34AA9" w:rsidP="00E6450A">
      <w:pPr>
        <w:pStyle w:val="Default"/>
        <w:numPr>
          <w:ilvl w:val="0"/>
          <w:numId w:val="5"/>
        </w:numPr>
        <w:jc w:val="both"/>
        <w:rPr>
          <w:b/>
          <w:bCs/>
          <w:i/>
          <w:iCs/>
          <w:sz w:val="20"/>
          <w:szCs w:val="20"/>
        </w:rPr>
      </w:pPr>
      <w:r w:rsidRPr="00A173BA">
        <w:rPr>
          <w:b/>
          <w:bCs/>
          <w:i/>
          <w:iCs/>
          <w:sz w:val="20"/>
          <w:szCs w:val="20"/>
        </w:rPr>
        <w:t>“</w:t>
      </w:r>
      <w:r w:rsidR="00296B62" w:rsidRPr="00A173BA">
        <w:rPr>
          <w:b/>
          <w:bCs/>
          <w:i/>
          <w:iCs/>
          <w:sz w:val="20"/>
          <w:szCs w:val="20"/>
        </w:rPr>
        <w:t xml:space="preserve">Las listas de elegibles que por la convocatoria 4 de empleados se encuentran vigentes y </w:t>
      </w:r>
      <w:r w:rsidR="00AE379C" w:rsidRPr="00A173BA">
        <w:rPr>
          <w:b/>
          <w:bCs/>
          <w:i/>
          <w:iCs/>
          <w:sz w:val="20"/>
          <w:szCs w:val="20"/>
        </w:rPr>
        <w:t>cuál</w:t>
      </w:r>
      <w:r w:rsidR="00296B62" w:rsidRPr="00A173BA">
        <w:rPr>
          <w:b/>
          <w:bCs/>
          <w:i/>
          <w:iCs/>
          <w:sz w:val="20"/>
          <w:szCs w:val="20"/>
        </w:rPr>
        <w:t xml:space="preserve"> es la fecha de vencimiento de cada una de ellas, refiriendo las personas que las integran y </w:t>
      </w:r>
      <w:r w:rsidR="008702DF" w:rsidRPr="00A173BA">
        <w:rPr>
          <w:b/>
          <w:bCs/>
          <w:i/>
          <w:iCs/>
          <w:sz w:val="20"/>
          <w:szCs w:val="20"/>
        </w:rPr>
        <w:t>aún</w:t>
      </w:r>
      <w:r w:rsidR="00296B62" w:rsidRPr="00A173BA">
        <w:rPr>
          <w:b/>
          <w:bCs/>
          <w:i/>
          <w:iCs/>
          <w:sz w:val="20"/>
          <w:szCs w:val="20"/>
        </w:rPr>
        <w:t xml:space="preserve"> no han tomado posesión del cargo</w:t>
      </w:r>
      <w:r w:rsidRPr="00A173BA">
        <w:rPr>
          <w:b/>
          <w:bCs/>
          <w:i/>
          <w:iCs/>
          <w:sz w:val="20"/>
          <w:szCs w:val="20"/>
        </w:rPr>
        <w:t>”</w:t>
      </w:r>
    </w:p>
    <w:p w14:paraId="633068D2" w14:textId="4A0D0639" w:rsidR="00BE6293" w:rsidRPr="00422955" w:rsidRDefault="00BE6293" w:rsidP="00E6450A">
      <w:pPr>
        <w:pStyle w:val="Default"/>
        <w:jc w:val="both"/>
        <w:rPr>
          <w:sz w:val="22"/>
          <w:szCs w:val="22"/>
        </w:rPr>
      </w:pPr>
    </w:p>
    <w:p w14:paraId="70B48342" w14:textId="3DE77569" w:rsidR="0052407E" w:rsidRPr="00422955" w:rsidRDefault="00374B66" w:rsidP="00E6450A">
      <w:pPr>
        <w:pStyle w:val="Default"/>
        <w:jc w:val="both"/>
        <w:rPr>
          <w:sz w:val="22"/>
          <w:szCs w:val="22"/>
        </w:rPr>
      </w:pPr>
      <w:r w:rsidRPr="00422955">
        <w:rPr>
          <w:sz w:val="22"/>
          <w:szCs w:val="22"/>
        </w:rPr>
        <w:t>Se adjunta</w:t>
      </w:r>
      <w:r w:rsidR="0052407E" w:rsidRPr="00422955">
        <w:rPr>
          <w:sz w:val="22"/>
          <w:szCs w:val="22"/>
        </w:rPr>
        <w:t xml:space="preserve"> el </w:t>
      </w:r>
      <w:hyperlink r:id="rId9" w:history="1">
        <w:r w:rsidR="0052407E" w:rsidRPr="00422955">
          <w:rPr>
            <w:rStyle w:val="Hipervnculo"/>
            <w:b/>
            <w:bCs/>
            <w:sz w:val="22"/>
            <w:szCs w:val="22"/>
          </w:rPr>
          <w:t>Registro Seccional de Elegibles</w:t>
        </w:r>
      </w:hyperlink>
      <w:r w:rsidR="0052407E" w:rsidRPr="00422955">
        <w:rPr>
          <w:b/>
          <w:bCs/>
          <w:sz w:val="22"/>
          <w:szCs w:val="22"/>
        </w:rPr>
        <w:t xml:space="preserve"> </w:t>
      </w:r>
      <w:r w:rsidR="00443682">
        <w:rPr>
          <w:sz w:val="22"/>
          <w:szCs w:val="22"/>
        </w:rPr>
        <w:t xml:space="preserve">(anexo1) </w:t>
      </w:r>
      <w:r w:rsidR="00116E91" w:rsidRPr="00422955">
        <w:rPr>
          <w:sz w:val="22"/>
          <w:szCs w:val="22"/>
        </w:rPr>
        <w:t>correspondiente al concurso de méritos para la provisión de los cargos de empleados de carrera de Tribunales, Juzgados y Centros de Servicios en los Distritos Judiciales de Manizales y Administrativo de Caldas</w:t>
      </w:r>
      <w:r w:rsidR="00F151AC" w:rsidRPr="00422955">
        <w:rPr>
          <w:rStyle w:val="Refdenotaalpie"/>
          <w:sz w:val="22"/>
          <w:szCs w:val="22"/>
        </w:rPr>
        <w:footnoteReference w:id="1"/>
      </w:r>
      <w:r w:rsidR="00116E91" w:rsidRPr="00422955">
        <w:rPr>
          <w:sz w:val="22"/>
          <w:szCs w:val="22"/>
        </w:rPr>
        <w:t xml:space="preserve">, </w:t>
      </w:r>
      <w:r w:rsidR="007A23AD" w:rsidRPr="00422955">
        <w:rPr>
          <w:b/>
          <w:bCs/>
          <w:sz w:val="22"/>
          <w:szCs w:val="22"/>
        </w:rPr>
        <w:t>actualizado al 16 de junio de 2025</w:t>
      </w:r>
      <w:r w:rsidR="007A23AD" w:rsidRPr="00422955">
        <w:rPr>
          <w:sz w:val="22"/>
          <w:szCs w:val="22"/>
        </w:rPr>
        <w:t>, que también puede consultarse en el micrositio web de este Consejo Seccional ubicado en la página web de la Rama Judicial:</w:t>
      </w:r>
    </w:p>
    <w:p w14:paraId="20107C8E" w14:textId="33871752" w:rsidR="007A23AD" w:rsidRPr="00422955" w:rsidRDefault="007A23AD" w:rsidP="00E6450A">
      <w:pPr>
        <w:pStyle w:val="Default"/>
        <w:jc w:val="both"/>
        <w:rPr>
          <w:sz w:val="22"/>
          <w:szCs w:val="22"/>
        </w:rPr>
      </w:pPr>
    </w:p>
    <w:p w14:paraId="6096866B" w14:textId="1EBFAFEC" w:rsidR="007A23AD" w:rsidRPr="00422955" w:rsidRDefault="000927BB" w:rsidP="00E6450A">
      <w:pPr>
        <w:pStyle w:val="Default"/>
        <w:jc w:val="center"/>
        <w:rPr>
          <w:sz w:val="22"/>
          <w:szCs w:val="22"/>
        </w:rPr>
      </w:pPr>
      <w:hyperlink r:id="rId10" w:history="1">
        <w:r w:rsidR="007A23AD" w:rsidRPr="00422955">
          <w:rPr>
            <w:rStyle w:val="Hipervnculo"/>
            <w:sz w:val="22"/>
            <w:szCs w:val="22"/>
          </w:rPr>
          <w:t>http://190.217.24.24/sinsac/index.php?controller=menu&amp;action=mod_registro_elegibles</w:t>
        </w:r>
      </w:hyperlink>
    </w:p>
    <w:p w14:paraId="3C13E3BD" w14:textId="77777777" w:rsidR="00C92048" w:rsidRPr="00422955" w:rsidRDefault="00C92048" w:rsidP="00E6450A">
      <w:pPr>
        <w:pStyle w:val="Default"/>
        <w:jc w:val="both"/>
        <w:rPr>
          <w:sz w:val="22"/>
          <w:szCs w:val="22"/>
        </w:rPr>
      </w:pPr>
    </w:p>
    <w:p w14:paraId="1A8F3D79" w14:textId="4CE241C8" w:rsidR="00681080" w:rsidRPr="00725FC2" w:rsidRDefault="00B34AA9" w:rsidP="00E6450A">
      <w:pPr>
        <w:pStyle w:val="Default"/>
        <w:numPr>
          <w:ilvl w:val="0"/>
          <w:numId w:val="5"/>
        </w:numPr>
        <w:jc w:val="both"/>
        <w:rPr>
          <w:b/>
          <w:bCs/>
          <w:i/>
          <w:iCs/>
          <w:sz w:val="20"/>
          <w:szCs w:val="20"/>
        </w:rPr>
      </w:pPr>
      <w:r w:rsidRPr="00725FC2">
        <w:rPr>
          <w:b/>
          <w:bCs/>
          <w:i/>
          <w:iCs/>
          <w:sz w:val="20"/>
          <w:szCs w:val="20"/>
        </w:rPr>
        <w:t>“</w:t>
      </w:r>
      <w:r w:rsidR="00296B62" w:rsidRPr="00725FC2">
        <w:rPr>
          <w:b/>
          <w:bCs/>
          <w:i/>
          <w:iCs/>
          <w:sz w:val="20"/>
          <w:szCs w:val="20"/>
        </w:rPr>
        <w:t>Qué cargos de empleados y funcionarios se encuentran en vacancia definitiva y para cuales de ellos se ha emitido lista de elegibles a los diferentes despachos. Para el efecto solicito copia de los acuerdos que se han enviado a los diferentes despachos en que aún no se ha tomado posesión en propiedad</w:t>
      </w:r>
      <w:r w:rsidRPr="00725FC2">
        <w:rPr>
          <w:b/>
          <w:bCs/>
          <w:i/>
          <w:iCs/>
          <w:sz w:val="20"/>
          <w:szCs w:val="20"/>
        </w:rPr>
        <w:t>”</w:t>
      </w:r>
      <w:r w:rsidR="00296B62" w:rsidRPr="00725FC2">
        <w:rPr>
          <w:b/>
          <w:bCs/>
          <w:i/>
          <w:iCs/>
          <w:sz w:val="20"/>
          <w:szCs w:val="20"/>
        </w:rPr>
        <w:t>.</w:t>
      </w:r>
    </w:p>
    <w:p w14:paraId="1F0269BA" w14:textId="71140A11" w:rsidR="0028028B" w:rsidRPr="00422955" w:rsidRDefault="0028028B" w:rsidP="00E6450A">
      <w:pPr>
        <w:pStyle w:val="Default"/>
        <w:jc w:val="both"/>
        <w:rPr>
          <w:sz w:val="22"/>
          <w:szCs w:val="22"/>
        </w:rPr>
      </w:pPr>
    </w:p>
    <w:p w14:paraId="0C2F60EC" w14:textId="3D37FD61" w:rsidR="0014735A" w:rsidRPr="00422955" w:rsidRDefault="00165A8C" w:rsidP="00E6450A">
      <w:pPr>
        <w:pStyle w:val="Default"/>
        <w:jc w:val="both"/>
        <w:rPr>
          <w:sz w:val="22"/>
          <w:szCs w:val="22"/>
        </w:rPr>
      </w:pPr>
      <w:r w:rsidRPr="00422955">
        <w:rPr>
          <w:sz w:val="22"/>
          <w:szCs w:val="22"/>
        </w:rPr>
        <w:t>A continuación</w:t>
      </w:r>
      <w:r w:rsidR="00D474CB" w:rsidRPr="00422955">
        <w:rPr>
          <w:sz w:val="22"/>
          <w:szCs w:val="22"/>
        </w:rPr>
        <w:t>,</w:t>
      </w:r>
      <w:r w:rsidRPr="00422955">
        <w:rPr>
          <w:sz w:val="22"/>
          <w:szCs w:val="22"/>
        </w:rPr>
        <w:t xml:space="preserve"> relacionamos los documentos y la información </w:t>
      </w:r>
      <w:r w:rsidR="004D15CB">
        <w:rPr>
          <w:sz w:val="22"/>
          <w:szCs w:val="22"/>
        </w:rPr>
        <w:t>que solicita:</w:t>
      </w:r>
    </w:p>
    <w:p w14:paraId="1B054D76" w14:textId="77777777" w:rsidR="000C1A05" w:rsidRPr="00422955" w:rsidRDefault="000C1A05" w:rsidP="00E6450A">
      <w:pPr>
        <w:pStyle w:val="Default"/>
        <w:jc w:val="both"/>
        <w:rPr>
          <w:sz w:val="22"/>
          <w:szCs w:val="22"/>
        </w:rPr>
      </w:pPr>
    </w:p>
    <w:tbl>
      <w:tblPr>
        <w:tblW w:w="0" w:type="auto"/>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76"/>
        <w:gridCol w:w="3827"/>
        <w:gridCol w:w="4267"/>
      </w:tblGrid>
      <w:tr w:rsidR="006019EE" w:rsidRPr="00C048F3" w14:paraId="505F088E" w14:textId="77777777" w:rsidTr="000927BB">
        <w:trPr>
          <w:tblHeader/>
        </w:trPr>
        <w:tc>
          <w:tcPr>
            <w:tcW w:w="1276" w:type="dxa"/>
            <w:shd w:val="clear" w:color="auto" w:fill="BDD6EE"/>
            <w:vAlign w:val="center"/>
          </w:tcPr>
          <w:p w14:paraId="7D63F259" w14:textId="353141A1" w:rsidR="00315F39" w:rsidRPr="001816F0" w:rsidRDefault="00861693" w:rsidP="006019EE">
            <w:pPr>
              <w:pStyle w:val="Default"/>
              <w:jc w:val="center"/>
              <w:rPr>
                <w:b/>
                <w:bCs/>
                <w:sz w:val="14"/>
                <w:szCs w:val="14"/>
              </w:rPr>
            </w:pPr>
            <w:r w:rsidRPr="001816F0">
              <w:rPr>
                <w:b/>
                <w:bCs/>
                <w:sz w:val="14"/>
                <w:szCs w:val="14"/>
              </w:rPr>
              <w:t>Vacantes definitiv</w:t>
            </w:r>
            <w:r w:rsidR="00B82EC3" w:rsidRPr="001816F0">
              <w:rPr>
                <w:b/>
                <w:bCs/>
                <w:sz w:val="14"/>
                <w:szCs w:val="14"/>
              </w:rPr>
              <w:t>a</w:t>
            </w:r>
            <w:r w:rsidRPr="001816F0">
              <w:rPr>
                <w:b/>
                <w:bCs/>
                <w:sz w:val="14"/>
                <w:szCs w:val="14"/>
              </w:rPr>
              <w:t>s</w:t>
            </w:r>
          </w:p>
        </w:tc>
        <w:tc>
          <w:tcPr>
            <w:tcW w:w="3827" w:type="dxa"/>
            <w:shd w:val="clear" w:color="auto" w:fill="BDD6EE"/>
            <w:vAlign w:val="center"/>
          </w:tcPr>
          <w:p w14:paraId="526A9B29" w14:textId="08B40657" w:rsidR="00315F39" w:rsidRPr="001816F0" w:rsidRDefault="00315F39" w:rsidP="006019EE">
            <w:pPr>
              <w:pStyle w:val="Default"/>
              <w:jc w:val="center"/>
              <w:rPr>
                <w:b/>
                <w:bCs/>
                <w:sz w:val="14"/>
                <w:szCs w:val="14"/>
              </w:rPr>
            </w:pPr>
            <w:r w:rsidRPr="001816F0">
              <w:rPr>
                <w:b/>
                <w:bCs/>
                <w:sz w:val="14"/>
                <w:szCs w:val="14"/>
              </w:rPr>
              <w:t>Anexo</w:t>
            </w:r>
          </w:p>
        </w:tc>
        <w:tc>
          <w:tcPr>
            <w:tcW w:w="4267" w:type="dxa"/>
            <w:shd w:val="clear" w:color="auto" w:fill="BDD6EE"/>
            <w:vAlign w:val="center"/>
          </w:tcPr>
          <w:p w14:paraId="5ECF438B" w14:textId="1FA366D2" w:rsidR="00315F39" w:rsidRPr="001816F0" w:rsidRDefault="0066381C" w:rsidP="006019EE">
            <w:pPr>
              <w:pStyle w:val="Default"/>
              <w:jc w:val="center"/>
              <w:rPr>
                <w:b/>
                <w:bCs/>
                <w:sz w:val="14"/>
                <w:szCs w:val="14"/>
              </w:rPr>
            </w:pPr>
            <w:r w:rsidRPr="001816F0">
              <w:rPr>
                <w:b/>
                <w:bCs/>
                <w:sz w:val="14"/>
                <w:szCs w:val="14"/>
              </w:rPr>
              <w:t>Observación</w:t>
            </w:r>
          </w:p>
        </w:tc>
      </w:tr>
      <w:tr w:rsidR="006019EE" w:rsidRPr="00C048F3" w14:paraId="1FE6FF00" w14:textId="77777777" w:rsidTr="002A5EC9">
        <w:trPr>
          <w:trHeight w:val="1376"/>
        </w:trPr>
        <w:tc>
          <w:tcPr>
            <w:tcW w:w="1276" w:type="dxa"/>
            <w:shd w:val="clear" w:color="auto" w:fill="F2F2F2"/>
            <w:vAlign w:val="center"/>
          </w:tcPr>
          <w:p w14:paraId="242FC0D5" w14:textId="18621C4E" w:rsidR="00315F39" w:rsidRPr="00C048F3" w:rsidRDefault="00315F39" w:rsidP="006019EE">
            <w:pPr>
              <w:pStyle w:val="Default"/>
              <w:jc w:val="center"/>
              <w:rPr>
                <w:b/>
                <w:bCs/>
                <w:sz w:val="16"/>
                <w:szCs w:val="16"/>
              </w:rPr>
            </w:pPr>
            <w:r w:rsidRPr="00C048F3">
              <w:rPr>
                <w:b/>
                <w:bCs/>
                <w:sz w:val="16"/>
                <w:szCs w:val="16"/>
              </w:rPr>
              <w:t>Funcionarios judiciales</w:t>
            </w:r>
          </w:p>
        </w:tc>
        <w:tc>
          <w:tcPr>
            <w:tcW w:w="3827" w:type="dxa"/>
            <w:shd w:val="clear" w:color="auto" w:fill="F2F2F2"/>
            <w:vAlign w:val="center"/>
          </w:tcPr>
          <w:p w14:paraId="68D8205A" w14:textId="04CBC279" w:rsidR="00315F39" w:rsidRPr="00C048F3" w:rsidRDefault="000927BB" w:rsidP="006019EE">
            <w:pPr>
              <w:pStyle w:val="Default"/>
              <w:jc w:val="both"/>
              <w:rPr>
                <w:sz w:val="16"/>
                <w:szCs w:val="16"/>
              </w:rPr>
            </w:pPr>
            <w:hyperlink r:id="rId11" w:history="1">
              <w:r w:rsidR="00315F39" w:rsidRPr="00C048F3">
                <w:rPr>
                  <w:rStyle w:val="Hipervnculo"/>
                  <w:sz w:val="16"/>
                  <w:szCs w:val="16"/>
                </w:rPr>
                <w:t>Listado de Vacantes definitivas de cargos de Juez de la República en el Distrito Judicial de Manizales con corte al 31 de mayo de 2025</w:t>
              </w:r>
            </w:hyperlink>
            <w:r w:rsidR="00315F39" w:rsidRPr="00C048F3">
              <w:rPr>
                <w:sz w:val="16"/>
                <w:szCs w:val="16"/>
              </w:rPr>
              <w:t>, las cuales se encuentran publicadas la página web de la Rama Judicial, sección de la Unidad de Administración de la Carrera Judicial</w:t>
            </w:r>
            <w:r w:rsidR="00E21BF9">
              <w:rPr>
                <w:sz w:val="16"/>
                <w:szCs w:val="16"/>
              </w:rPr>
              <w:t xml:space="preserve"> (</w:t>
            </w:r>
            <w:r w:rsidR="0049110A">
              <w:rPr>
                <w:sz w:val="16"/>
                <w:szCs w:val="16"/>
              </w:rPr>
              <w:t>a</w:t>
            </w:r>
            <w:r w:rsidR="00E21BF9">
              <w:rPr>
                <w:sz w:val="16"/>
                <w:szCs w:val="16"/>
              </w:rPr>
              <w:t>nexo 2)</w:t>
            </w:r>
            <w:r w:rsidR="00315F39" w:rsidRPr="00C048F3">
              <w:rPr>
                <w:b/>
                <w:bCs/>
                <w:sz w:val="16"/>
                <w:szCs w:val="16"/>
              </w:rPr>
              <w:t>.</w:t>
            </w:r>
          </w:p>
        </w:tc>
        <w:tc>
          <w:tcPr>
            <w:tcW w:w="4267" w:type="dxa"/>
            <w:shd w:val="clear" w:color="auto" w:fill="F2F2F2"/>
            <w:vAlign w:val="center"/>
          </w:tcPr>
          <w:p w14:paraId="465E04B2" w14:textId="1E3864FA" w:rsidR="00975484" w:rsidRPr="00C048F3" w:rsidRDefault="00417864" w:rsidP="006019EE">
            <w:pPr>
              <w:pStyle w:val="Default"/>
              <w:jc w:val="both"/>
              <w:rPr>
                <w:sz w:val="16"/>
                <w:szCs w:val="16"/>
              </w:rPr>
            </w:pPr>
            <w:r w:rsidRPr="00C048F3">
              <w:rPr>
                <w:sz w:val="16"/>
                <w:szCs w:val="16"/>
              </w:rPr>
              <w:t>La Unidad de Administración de la Carrera Judicial del Consejo Superior de la Judicatura realiza la publicación de las vacantes definitivas</w:t>
            </w:r>
            <w:r w:rsidR="00975484" w:rsidRPr="00C048F3">
              <w:rPr>
                <w:sz w:val="16"/>
                <w:szCs w:val="16"/>
              </w:rPr>
              <w:t xml:space="preserve"> en cargos de funcionarios judiciales, </w:t>
            </w:r>
            <w:r w:rsidR="00315F39" w:rsidRPr="00C048F3">
              <w:rPr>
                <w:sz w:val="16"/>
                <w:szCs w:val="16"/>
              </w:rPr>
              <w:t>con el fin de que funcionarios de carrera puedan solicitar traslado en la forma señalada en el reglamento correspondiente</w:t>
            </w:r>
            <w:r w:rsidR="00315F39" w:rsidRPr="00C048F3">
              <w:rPr>
                <w:rStyle w:val="Refdenotaalpie"/>
                <w:sz w:val="16"/>
                <w:szCs w:val="16"/>
              </w:rPr>
              <w:footnoteReference w:id="2"/>
            </w:r>
            <w:r w:rsidR="00975484" w:rsidRPr="00C048F3">
              <w:rPr>
                <w:sz w:val="16"/>
                <w:szCs w:val="16"/>
              </w:rPr>
              <w:t xml:space="preserve">, esto, </w:t>
            </w:r>
            <w:r w:rsidR="006C5E53">
              <w:rPr>
                <w:sz w:val="16"/>
                <w:szCs w:val="16"/>
              </w:rPr>
              <w:t>porque</w:t>
            </w:r>
            <w:r w:rsidR="00975484" w:rsidRPr="00C048F3">
              <w:rPr>
                <w:sz w:val="16"/>
                <w:szCs w:val="16"/>
              </w:rPr>
              <w:t xml:space="preserve"> no existe</w:t>
            </w:r>
            <w:r w:rsidR="003D5CCF">
              <w:rPr>
                <w:sz w:val="16"/>
                <w:szCs w:val="16"/>
              </w:rPr>
              <w:t>n</w:t>
            </w:r>
            <w:r w:rsidR="00975484" w:rsidRPr="00C048F3">
              <w:rPr>
                <w:sz w:val="16"/>
                <w:szCs w:val="16"/>
              </w:rPr>
              <w:t xml:space="preserve"> Registro de Elegibles </w:t>
            </w:r>
            <w:r w:rsidR="00170A96" w:rsidRPr="00C048F3">
              <w:rPr>
                <w:sz w:val="16"/>
                <w:szCs w:val="16"/>
              </w:rPr>
              <w:t xml:space="preserve">vigente </w:t>
            </w:r>
            <w:r w:rsidR="00975484" w:rsidRPr="00C048F3">
              <w:rPr>
                <w:sz w:val="16"/>
                <w:szCs w:val="16"/>
              </w:rPr>
              <w:t xml:space="preserve">para </w:t>
            </w:r>
            <w:r w:rsidR="008B4825" w:rsidRPr="00C048F3">
              <w:rPr>
                <w:sz w:val="16"/>
                <w:szCs w:val="16"/>
              </w:rPr>
              <w:t>su provisión.</w:t>
            </w:r>
          </w:p>
        </w:tc>
      </w:tr>
      <w:tr w:rsidR="006019EE" w:rsidRPr="00C048F3" w14:paraId="339AB45D" w14:textId="77777777" w:rsidTr="00D93ADC">
        <w:trPr>
          <w:trHeight w:val="1450"/>
        </w:trPr>
        <w:tc>
          <w:tcPr>
            <w:tcW w:w="1276" w:type="dxa"/>
            <w:shd w:val="clear" w:color="auto" w:fill="auto"/>
            <w:vAlign w:val="center"/>
          </w:tcPr>
          <w:p w14:paraId="08D79266" w14:textId="61C3BC7B" w:rsidR="00315F39" w:rsidRPr="00C048F3" w:rsidRDefault="00315F39" w:rsidP="006019EE">
            <w:pPr>
              <w:pStyle w:val="Default"/>
              <w:jc w:val="center"/>
              <w:rPr>
                <w:b/>
                <w:bCs/>
                <w:sz w:val="16"/>
                <w:szCs w:val="16"/>
              </w:rPr>
            </w:pPr>
            <w:r w:rsidRPr="00C048F3">
              <w:rPr>
                <w:b/>
                <w:bCs/>
                <w:sz w:val="16"/>
                <w:szCs w:val="16"/>
              </w:rPr>
              <w:t>Empleados judiciales</w:t>
            </w:r>
          </w:p>
        </w:tc>
        <w:tc>
          <w:tcPr>
            <w:tcW w:w="3827" w:type="dxa"/>
            <w:shd w:val="clear" w:color="auto" w:fill="auto"/>
            <w:vAlign w:val="center"/>
          </w:tcPr>
          <w:p w14:paraId="7BD170C6" w14:textId="6FBE29DE" w:rsidR="00315F39" w:rsidRPr="00C048F3" w:rsidRDefault="00315F39" w:rsidP="006019EE">
            <w:pPr>
              <w:pStyle w:val="Default"/>
              <w:jc w:val="both"/>
              <w:rPr>
                <w:sz w:val="16"/>
                <w:szCs w:val="16"/>
              </w:rPr>
            </w:pPr>
            <w:r w:rsidRPr="00C048F3">
              <w:rPr>
                <w:sz w:val="16"/>
                <w:szCs w:val="16"/>
              </w:rPr>
              <w:t>Listado de vacantes definitivas de cargos de empleados en el Distrito Judicial de Manizales con corte al 31 de mayo de 2025, las cuales se encuentran publicadas en la página web de la Rama Judicial, sección del Consejo Seccional de la Judicatura</w:t>
            </w:r>
            <w:r w:rsidR="00376639" w:rsidRPr="00C048F3">
              <w:rPr>
                <w:sz w:val="16"/>
                <w:szCs w:val="16"/>
              </w:rPr>
              <w:t>.</w:t>
            </w:r>
          </w:p>
        </w:tc>
        <w:tc>
          <w:tcPr>
            <w:tcW w:w="4267" w:type="dxa"/>
            <w:shd w:val="clear" w:color="auto" w:fill="auto"/>
            <w:vAlign w:val="center"/>
          </w:tcPr>
          <w:p w14:paraId="3BC33AD8" w14:textId="77777777" w:rsidR="00315F39" w:rsidRPr="00C048F3" w:rsidRDefault="000474F0" w:rsidP="006019EE">
            <w:pPr>
              <w:pStyle w:val="Default"/>
              <w:jc w:val="both"/>
              <w:rPr>
                <w:sz w:val="16"/>
                <w:szCs w:val="16"/>
              </w:rPr>
            </w:pPr>
            <w:r w:rsidRPr="00C048F3">
              <w:rPr>
                <w:sz w:val="16"/>
                <w:szCs w:val="16"/>
              </w:rPr>
              <w:t xml:space="preserve">A la fecha, existen </w:t>
            </w:r>
            <w:r w:rsidR="00315F39" w:rsidRPr="00C048F3">
              <w:rPr>
                <w:sz w:val="16"/>
                <w:szCs w:val="16"/>
              </w:rPr>
              <w:t xml:space="preserve">22 vacantes definitivas </w:t>
            </w:r>
            <w:r w:rsidR="00FF7A1C" w:rsidRPr="00C048F3">
              <w:rPr>
                <w:sz w:val="16"/>
                <w:szCs w:val="16"/>
              </w:rPr>
              <w:t>de cargos de empleados judiciales</w:t>
            </w:r>
            <w:r w:rsidR="003D3FF1" w:rsidRPr="00C048F3">
              <w:rPr>
                <w:sz w:val="16"/>
                <w:szCs w:val="16"/>
              </w:rPr>
              <w:t xml:space="preserve"> en esta Seccional</w:t>
            </w:r>
            <w:r w:rsidRPr="00C048F3">
              <w:rPr>
                <w:sz w:val="16"/>
                <w:szCs w:val="16"/>
              </w:rPr>
              <w:t>,</w:t>
            </w:r>
            <w:r w:rsidR="00D16747" w:rsidRPr="00C048F3">
              <w:rPr>
                <w:sz w:val="16"/>
                <w:szCs w:val="16"/>
              </w:rPr>
              <w:t xml:space="preserve"> cuya publicación se efectúa como se explica a continuación:</w:t>
            </w:r>
          </w:p>
          <w:p w14:paraId="0640DB3E" w14:textId="77777777" w:rsidR="003A42C9" w:rsidRPr="00C048F3" w:rsidRDefault="003A42C9" w:rsidP="006019EE">
            <w:pPr>
              <w:pStyle w:val="Default"/>
              <w:jc w:val="both"/>
              <w:rPr>
                <w:sz w:val="16"/>
                <w:szCs w:val="16"/>
              </w:rPr>
            </w:pPr>
          </w:p>
          <w:p w14:paraId="15A5499A" w14:textId="3731B952" w:rsidR="00186730" w:rsidRDefault="003A42C9" w:rsidP="006019EE">
            <w:pPr>
              <w:pStyle w:val="Default"/>
              <w:numPr>
                <w:ilvl w:val="0"/>
                <w:numId w:val="15"/>
              </w:numPr>
              <w:jc w:val="both"/>
              <w:rPr>
                <w:sz w:val="16"/>
                <w:szCs w:val="16"/>
              </w:rPr>
            </w:pPr>
            <w:r w:rsidRPr="00C048F3">
              <w:rPr>
                <w:b/>
                <w:bCs/>
                <w:sz w:val="16"/>
                <w:szCs w:val="16"/>
              </w:rPr>
              <w:t>Vacantes definitivas</w:t>
            </w:r>
            <w:r w:rsidR="00A12C06" w:rsidRPr="00C048F3">
              <w:rPr>
                <w:sz w:val="16"/>
                <w:szCs w:val="16"/>
              </w:rPr>
              <w:t xml:space="preserve">: </w:t>
            </w:r>
            <w:r w:rsidR="00956F72" w:rsidRPr="00C048F3">
              <w:rPr>
                <w:sz w:val="16"/>
                <w:szCs w:val="16"/>
              </w:rPr>
              <w:t xml:space="preserve">Corresponden a cargos </w:t>
            </w:r>
            <w:r w:rsidR="00A12C06" w:rsidRPr="00C048F3">
              <w:rPr>
                <w:sz w:val="16"/>
                <w:szCs w:val="16"/>
              </w:rPr>
              <w:t>que</w:t>
            </w:r>
            <w:r w:rsidR="006E6A88" w:rsidRPr="00C048F3">
              <w:rPr>
                <w:sz w:val="16"/>
                <w:szCs w:val="16"/>
              </w:rPr>
              <w:t xml:space="preserve"> </w:t>
            </w:r>
            <w:r w:rsidR="00236CAD" w:rsidRPr="00C048F3">
              <w:rPr>
                <w:sz w:val="16"/>
                <w:szCs w:val="16"/>
              </w:rPr>
              <w:t xml:space="preserve">fueron </w:t>
            </w:r>
            <w:r w:rsidR="006E6A88" w:rsidRPr="00C048F3">
              <w:rPr>
                <w:sz w:val="16"/>
                <w:szCs w:val="16"/>
              </w:rPr>
              <w:t xml:space="preserve">creados por el Consejo Superior </w:t>
            </w:r>
            <w:r w:rsidR="00956F72" w:rsidRPr="00C048F3">
              <w:rPr>
                <w:sz w:val="16"/>
                <w:szCs w:val="16"/>
              </w:rPr>
              <w:t xml:space="preserve">de la Judicatura </w:t>
            </w:r>
            <w:r w:rsidR="00236CAD" w:rsidRPr="00C048F3">
              <w:rPr>
                <w:sz w:val="16"/>
                <w:szCs w:val="16"/>
              </w:rPr>
              <w:t xml:space="preserve">de manera posterior al </w:t>
            </w:r>
            <w:r w:rsidR="003F4B05" w:rsidRPr="00C048F3">
              <w:rPr>
                <w:sz w:val="16"/>
                <w:szCs w:val="16"/>
              </w:rPr>
              <w:t>concurso de mé</w:t>
            </w:r>
            <w:r w:rsidR="0056743B" w:rsidRPr="00C048F3">
              <w:rPr>
                <w:sz w:val="16"/>
                <w:szCs w:val="16"/>
              </w:rPr>
              <w:t>ritos y no existe registro de elegibles para su provisión</w:t>
            </w:r>
            <w:r w:rsidR="00186730" w:rsidRPr="00C048F3">
              <w:rPr>
                <w:sz w:val="16"/>
                <w:szCs w:val="16"/>
              </w:rPr>
              <w:t xml:space="preserve">, en vista </w:t>
            </w:r>
            <w:r w:rsidR="0049117C" w:rsidRPr="00C048F3">
              <w:rPr>
                <w:sz w:val="16"/>
                <w:szCs w:val="16"/>
              </w:rPr>
              <w:t xml:space="preserve">de </w:t>
            </w:r>
            <w:r w:rsidR="00186730" w:rsidRPr="00C048F3">
              <w:rPr>
                <w:sz w:val="16"/>
                <w:szCs w:val="16"/>
              </w:rPr>
              <w:t>que no exist</w:t>
            </w:r>
            <w:r w:rsidR="0023696A" w:rsidRPr="00C048F3">
              <w:rPr>
                <w:sz w:val="16"/>
                <w:szCs w:val="16"/>
              </w:rPr>
              <w:t>en</w:t>
            </w:r>
            <w:r w:rsidR="00186730" w:rsidRPr="00C048F3">
              <w:rPr>
                <w:sz w:val="16"/>
                <w:szCs w:val="16"/>
              </w:rPr>
              <w:t xml:space="preserve"> e</w:t>
            </w:r>
            <w:r w:rsidR="00236CAD" w:rsidRPr="00C048F3">
              <w:rPr>
                <w:sz w:val="16"/>
                <w:szCs w:val="16"/>
              </w:rPr>
              <w:t>n la planta de personal del Distrito</w:t>
            </w:r>
            <w:r w:rsidR="00186730" w:rsidRPr="00C048F3">
              <w:rPr>
                <w:sz w:val="16"/>
                <w:szCs w:val="16"/>
              </w:rPr>
              <w:t xml:space="preserve"> o </w:t>
            </w:r>
            <w:r w:rsidR="00FB2D0F" w:rsidRPr="00C048F3">
              <w:rPr>
                <w:sz w:val="16"/>
                <w:szCs w:val="16"/>
              </w:rPr>
              <w:t xml:space="preserve">porque </w:t>
            </w:r>
            <w:r w:rsidR="00186730" w:rsidRPr="00C048F3">
              <w:rPr>
                <w:sz w:val="16"/>
                <w:szCs w:val="16"/>
              </w:rPr>
              <w:t>se agotó el Registro Seccional de elegibles</w:t>
            </w:r>
            <w:r w:rsidR="00236CAD" w:rsidRPr="00C048F3">
              <w:rPr>
                <w:sz w:val="16"/>
                <w:szCs w:val="16"/>
              </w:rPr>
              <w:t xml:space="preserve">, </w:t>
            </w:r>
            <w:r w:rsidR="00236CAD" w:rsidRPr="00C048F3">
              <w:rPr>
                <w:b/>
                <w:bCs/>
                <w:sz w:val="16"/>
                <w:szCs w:val="16"/>
              </w:rPr>
              <w:t>un total de 13</w:t>
            </w:r>
            <w:r w:rsidR="00BB0662" w:rsidRPr="00C048F3">
              <w:rPr>
                <w:b/>
                <w:bCs/>
                <w:sz w:val="16"/>
                <w:szCs w:val="16"/>
              </w:rPr>
              <w:t xml:space="preserve"> </w:t>
            </w:r>
            <w:r w:rsidR="00BB0662" w:rsidRPr="00C048F3">
              <w:rPr>
                <w:sz w:val="16"/>
                <w:szCs w:val="16"/>
              </w:rPr>
              <w:t>(</w:t>
            </w:r>
            <w:r w:rsidR="0049110A">
              <w:rPr>
                <w:sz w:val="16"/>
                <w:szCs w:val="16"/>
              </w:rPr>
              <w:t>anexo 3</w:t>
            </w:r>
            <w:r w:rsidR="00BB0662" w:rsidRPr="00C048F3">
              <w:rPr>
                <w:sz w:val="16"/>
                <w:szCs w:val="16"/>
              </w:rPr>
              <w:t>)</w:t>
            </w:r>
            <w:r w:rsidR="00236CAD" w:rsidRPr="00C048F3">
              <w:rPr>
                <w:sz w:val="16"/>
                <w:szCs w:val="16"/>
              </w:rPr>
              <w:t xml:space="preserve">. </w:t>
            </w:r>
          </w:p>
          <w:p w14:paraId="106A9E7C" w14:textId="4401D716" w:rsidR="00447FCD" w:rsidRPr="00C048F3" w:rsidRDefault="00236CAD" w:rsidP="006019EE">
            <w:pPr>
              <w:pStyle w:val="Default"/>
              <w:ind w:left="360"/>
              <w:jc w:val="both"/>
              <w:rPr>
                <w:sz w:val="16"/>
                <w:szCs w:val="16"/>
              </w:rPr>
            </w:pPr>
            <w:r w:rsidRPr="00C048F3">
              <w:rPr>
                <w:sz w:val="16"/>
                <w:szCs w:val="16"/>
              </w:rPr>
              <w:t xml:space="preserve">Su publicación se realiza con el fin de que empleados de otros distritos judiciales puedan </w:t>
            </w:r>
            <w:r w:rsidRPr="00C048F3">
              <w:rPr>
                <w:sz w:val="16"/>
                <w:szCs w:val="16"/>
              </w:rPr>
              <w:lastRenderedPageBreak/>
              <w:t>solicitar traslado.</w:t>
            </w:r>
          </w:p>
          <w:p w14:paraId="4E760201" w14:textId="2037B662" w:rsidR="006807B1" w:rsidRPr="00C048F3" w:rsidRDefault="006807B1" w:rsidP="006019EE">
            <w:pPr>
              <w:pStyle w:val="Default"/>
              <w:jc w:val="both"/>
              <w:rPr>
                <w:b/>
                <w:bCs/>
                <w:sz w:val="16"/>
                <w:szCs w:val="16"/>
              </w:rPr>
            </w:pPr>
          </w:p>
          <w:p w14:paraId="145C9529" w14:textId="52135616" w:rsidR="006807B1" w:rsidRPr="00C048F3" w:rsidRDefault="006807B1" w:rsidP="006019EE">
            <w:pPr>
              <w:pStyle w:val="Default"/>
              <w:jc w:val="both"/>
              <w:rPr>
                <w:b/>
                <w:bCs/>
                <w:sz w:val="16"/>
                <w:szCs w:val="16"/>
              </w:rPr>
            </w:pPr>
            <w:r w:rsidRPr="00C048F3">
              <w:rPr>
                <w:sz w:val="16"/>
                <w:szCs w:val="16"/>
              </w:rPr>
              <w:t>Puede consultarse en el siguiente enlace:</w:t>
            </w:r>
          </w:p>
          <w:p w14:paraId="67433D45" w14:textId="2B14E446" w:rsidR="00725B2F" w:rsidRPr="00C048F3" w:rsidRDefault="000927BB" w:rsidP="006019EE">
            <w:pPr>
              <w:pStyle w:val="Default"/>
              <w:jc w:val="center"/>
              <w:rPr>
                <w:sz w:val="16"/>
                <w:szCs w:val="16"/>
              </w:rPr>
            </w:pPr>
            <w:hyperlink r:id="rId12" w:history="1">
              <w:r w:rsidR="00725B2F" w:rsidRPr="00C048F3">
                <w:rPr>
                  <w:rStyle w:val="Hipervnculo"/>
                  <w:sz w:val="16"/>
                  <w:szCs w:val="16"/>
                </w:rPr>
                <w:t>https://www.ramajudicial.gov.co/web/consejo-seccional-de-la-judicatura-de-caldas/vacantes-definitivas3</w:t>
              </w:r>
            </w:hyperlink>
          </w:p>
          <w:p w14:paraId="58799EB5" w14:textId="77777777" w:rsidR="00725B2F" w:rsidRPr="00C048F3" w:rsidRDefault="00725B2F" w:rsidP="006019EE">
            <w:pPr>
              <w:pStyle w:val="Default"/>
              <w:jc w:val="both"/>
              <w:rPr>
                <w:sz w:val="16"/>
                <w:szCs w:val="16"/>
              </w:rPr>
            </w:pPr>
          </w:p>
          <w:p w14:paraId="0FFBB6AC" w14:textId="10452CF3" w:rsidR="000F6B50" w:rsidRPr="00C048F3" w:rsidRDefault="000F6B50" w:rsidP="006019EE">
            <w:pPr>
              <w:pStyle w:val="Default"/>
              <w:numPr>
                <w:ilvl w:val="0"/>
                <w:numId w:val="15"/>
              </w:numPr>
              <w:jc w:val="both"/>
              <w:rPr>
                <w:b/>
                <w:bCs/>
                <w:sz w:val="16"/>
                <w:szCs w:val="16"/>
              </w:rPr>
            </w:pPr>
            <w:r w:rsidRPr="00C048F3">
              <w:rPr>
                <w:b/>
                <w:bCs/>
                <w:sz w:val="16"/>
                <w:szCs w:val="16"/>
              </w:rPr>
              <w:t xml:space="preserve">Opciones de sede </w:t>
            </w:r>
            <w:r w:rsidR="00723DEA" w:rsidRPr="00C048F3">
              <w:rPr>
                <w:b/>
                <w:bCs/>
                <w:sz w:val="16"/>
                <w:szCs w:val="16"/>
              </w:rPr>
              <w:t xml:space="preserve">por presentación de </w:t>
            </w:r>
            <w:r w:rsidRPr="00C048F3">
              <w:rPr>
                <w:b/>
                <w:bCs/>
                <w:sz w:val="16"/>
                <w:szCs w:val="16"/>
              </w:rPr>
              <w:t>vacantes definitivas:</w:t>
            </w:r>
          </w:p>
          <w:p w14:paraId="1E40D780" w14:textId="77777777" w:rsidR="000353D5" w:rsidRPr="00C048F3" w:rsidRDefault="000353D5" w:rsidP="006019EE">
            <w:pPr>
              <w:pStyle w:val="Default"/>
              <w:jc w:val="both"/>
              <w:rPr>
                <w:sz w:val="16"/>
                <w:szCs w:val="16"/>
              </w:rPr>
            </w:pPr>
          </w:p>
          <w:p w14:paraId="621D433D" w14:textId="7159D4AD" w:rsidR="00447FCD" w:rsidRPr="00C048F3" w:rsidRDefault="00956F72" w:rsidP="006019EE">
            <w:pPr>
              <w:pStyle w:val="Default"/>
              <w:jc w:val="both"/>
              <w:rPr>
                <w:sz w:val="16"/>
                <w:szCs w:val="16"/>
              </w:rPr>
            </w:pPr>
            <w:r w:rsidRPr="00C048F3">
              <w:rPr>
                <w:sz w:val="16"/>
                <w:szCs w:val="16"/>
              </w:rPr>
              <w:t xml:space="preserve">Corresponden </w:t>
            </w:r>
            <w:r w:rsidR="003F603B" w:rsidRPr="00C048F3">
              <w:rPr>
                <w:sz w:val="16"/>
                <w:szCs w:val="16"/>
              </w:rPr>
              <w:t>a las vacantes definitivas reportadas por las autoridades nominadoras respectivas</w:t>
            </w:r>
            <w:r w:rsidR="00BE54C6" w:rsidRPr="00C048F3">
              <w:rPr>
                <w:sz w:val="16"/>
                <w:szCs w:val="16"/>
              </w:rPr>
              <w:t xml:space="preserve">, un total de </w:t>
            </w:r>
          </w:p>
          <w:p w14:paraId="2EE4A9AE" w14:textId="77777777" w:rsidR="00BE54C6" w:rsidRPr="00C048F3" w:rsidRDefault="00BE54C6" w:rsidP="006019EE">
            <w:pPr>
              <w:pStyle w:val="Default"/>
              <w:jc w:val="both"/>
              <w:rPr>
                <w:sz w:val="16"/>
                <w:szCs w:val="16"/>
              </w:rPr>
            </w:pPr>
          </w:p>
          <w:p w14:paraId="2CE04A9A" w14:textId="17A96B8E" w:rsidR="003A42C9" w:rsidRPr="00C048F3" w:rsidRDefault="003A42C9" w:rsidP="006019EE">
            <w:pPr>
              <w:pStyle w:val="Default"/>
              <w:jc w:val="both"/>
              <w:rPr>
                <w:sz w:val="16"/>
                <w:szCs w:val="16"/>
              </w:rPr>
            </w:pPr>
          </w:p>
        </w:tc>
      </w:tr>
    </w:tbl>
    <w:p w14:paraId="02CE6D30" w14:textId="443F77FE" w:rsidR="00420B77" w:rsidRPr="00422955" w:rsidRDefault="00420B77" w:rsidP="00E6450A">
      <w:pPr>
        <w:pStyle w:val="Default"/>
        <w:jc w:val="both"/>
        <w:rPr>
          <w:sz w:val="22"/>
          <w:szCs w:val="22"/>
        </w:rPr>
      </w:pPr>
    </w:p>
    <w:p w14:paraId="6A3A86FC" w14:textId="77777777" w:rsidR="00473E6A" w:rsidRPr="00422955" w:rsidRDefault="00473E6A" w:rsidP="00E6450A">
      <w:pPr>
        <w:pStyle w:val="Default"/>
        <w:jc w:val="both"/>
        <w:rPr>
          <w:sz w:val="22"/>
          <w:szCs w:val="22"/>
        </w:rPr>
      </w:pPr>
    </w:p>
    <w:p w14:paraId="41AB71FB" w14:textId="0DADED8A" w:rsidR="00D87183" w:rsidRPr="00270A01" w:rsidRDefault="00B34AA9" w:rsidP="00E6450A">
      <w:pPr>
        <w:pStyle w:val="Default"/>
        <w:numPr>
          <w:ilvl w:val="0"/>
          <w:numId w:val="5"/>
        </w:numPr>
        <w:jc w:val="both"/>
        <w:rPr>
          <w:b/>
          <w:bCs/>
          <w:i/>
          <w:iCs/>
          <w:sz w:val="20"/>
          <w:szCs w:val="20"/>
        </w:rPr>
      </w:pPr>
      <w:r w:rsidRPr="00270A01">
        <w:rPr>
          <w:b/>
          <w:bCs/>
          <w:i/>
          <w:iCs/>
          <w:sz w:val="20"/>
          <w:szCs w:val="20"/>
        </w:rPr>
        <w:t>“</w:t>
      </w:r>
      <w:r w:rsidR="00296B62" w:rsidRPr="00270A01">
        <w:rPr>
          <w:b/>
          <w:bCs/>
          <w:i/>
          <w:iCs/>
          <w:sz w:val="20"/>
          <w:szCs w:val="20"/>
        </w:rPr>
        <w:t>La lista de cargos y servidores que a la fecha han tomado posesión por haber superado las diferentes etapas de la convocatoria 4 de empleados de juzgados y centros de servicios</w:t>
      </w:r>
      <w:r w:rsidRPr="00270A01">
        <w:rPr>
          <w:b/>
          <w:bCs/>
          <w:i/>
          <w:iCs/>
          <w:sz w:val="20"/>
          <w:szCs w:val="20"/>
        </w:rPr>
        <w:t>”</w:t>
      </w:r>
      <w:r w:rsidR="00296B62" w:rsidRPr="00270A01">
        <w:rPr>
          <w:b/>
          <w:bCs/>
          <w:i/>
          <w:iCs/>
          <w:sz w:val="20"/>
          <w:szCs w:val="20"/>
        </w:rPr>
        <w:t>.</w:t>
      </w:r>
    </w:p>
    <w:p w14:paraId="647E7E81" w14:textId="4D2837F3" w:rsidR="008364FA" w:rsidRPr="00422955" w:rsidRDefault="008364FA" w:rsidP="00E6450A">
      <w:pPr>
        <w:pStyle w:val="Default"/>
        <w:jc w:val="both"/>
        <w:rPr>
          <w:sz w:val="22"/>
          <w:szCs w:val="22"/>
        </w:rPr>
      </w:pPr>
    </w:p>
    <w:p w14:paraId="1AF73C0C" w14:textId="50CA7569" w:rsidR="00DA1327" w:rsidRPr="00422955" w:rsidRDefault="00F41CD8" w:rsidP="00E6450A">
      <w:pPr>
        <w:pStyle w:val="Default"/>
        <w:jc w:val="both"/>
        <w:rPr>
          <w:sz w:val="22"/>
          <w:szCs w:val="22"/>
        </w:rPr>
      </w:pPr>
      <w:r w:rsidRPr="00422955">
        <w:rPr>
          <w:sz w:val="22"/>
          <w:szCs w:val="22"/>
        </w:rPr>
        <w:t xml:space="preserve">Se adjunta la lista de concursantes de la Convocatoria No. 4 </w:t>
      </w:r>
      <w:proofErr w:type="gramStart"/>
      <w:r w:rsidRPr="00422955">
        <w:rPr>
          <w:sz w:val="22"/>
          <w:szCs w:val="22"/>
        </w:rPr>
        <w:t>que</w:t>
      </w:r>
      <w:proofErr w:type="gramEnd"/>
      <w:r w:rsidRPr="00422955">
        <w:rPr>
          <w:sz w:val="22"/>
          <w:szCs w:val="22"/>
        </w:rPr>
        <w:t xml:space="preserve"> </w:t>
      </w:r>
      <w:r w:rsidR="00777B97" w:rsidRPr="00422955">
        <w:rPr>
          <w:sz w:val="22"/>
          <w:szCs w:val="22"/>
        </w:rPr>
        <w:t xml:space="preserve">durante la vigencia de los Registros Seccionales de Elegibles para los diferentes cargos, </w:t>
      </w:r>
      <w:r w:rsidRPr="00422955">
        <w:rPr>
          <w:sz w:val="22"/>
          <w:szCs w:val="22"/>
        </w:rPr>
        <w:t xml:space="preserve">han tomado posesión en </w:t>
      </w:r>
      <w:r w:rsidR="00B6415D" w:rsidRPr="00422955">
        <w:rPr>
          <w:sz w:val="22"/>
          <w:szCs w:val="22"/>
        </w:rPr>
        <w:t xml:space="preserve">el </w:t>
      </w:r>
      <w:r w:rsidRPr="00422955">
        <w:rPr>
          <w:sz w:val="22"/>
          <w:szCs w:val="22"/>
        </w:rPr>
        <w:t>cargo de carrera judicial para el cual aprobaron el concurso de méritos</w:t>
      </w:r>
      <w:r w:rsidR="006B6BE7" w:rsidRPr="00422955">
        <w:rPr>
          <w:sz w:val="22"/>
          <w:szCs w:val="22"/>
        </w:rPr>
        <w:t>.</w:t>
      </w:r>
      <w:r w:rsidR="003708B7" w:rsidRPr="00422955">
        <w:rPr>
          <w:sz w:val="22"/>
          <w:szCs w:val="22"/>
        </w:rPr>
        <w:t xml:space="preserve"> Ver documento.</w:t>
      </w:r>
    </w:p>
    <w:p w14:paraId="0FA94BEA" w14:textId="77777777" w:rsidR="00DA1327" w:rsidRPr="00422955" w:rsidRDefault="00DA1327" w:rsidP="00E6450A">
      <w:pPr>
        <w:pStyle w:val="Default"/>
        <w:jc w:val="both"/>
        <w:rPr>
          <w:sz w:val="22"/>
          <w:szCs w:val="22"/>
        </w:rPr>
      </w:pPr>
    </w:p>
    <w:p w14:paraId="2DE7C3C3" w14:textId="77777777" w:rsidR="00867D56" w:rsidRPr="00422955" w:rsidRDefault="00867D56" w:rsidP="00E6450A">
      <w:pPr>
        <w:pStyle w:val="Default"/>
        <w:jc w:val="both"/>
        <w:rPr>
          <w:sz w:val="22"/>
          <w:szCs w:val="22"/>
        </w:rPr>
      </w:pPr>
    </w:p>
    <w:p w14:paraId="5D91A6AF" w14:textId="63C7FD9E" w:rsidR="00EF1E52" w:rsidRPr="00AB7704" w:rsidRDefault="00B34AA9" w:rsidP="00E6450A">
      <w:pPr>
        <w:pStyle w:val="Default"/>
        <w:numPr>
          <w:ilvl w:val="0"/>
          <w:numId w:val="5"/>
        </w:numPr>
        <w:jc w:val="both"/>
        <w:rPr>
          <w:b/>
          <w:bCs/>
          <w:i/>
          <w:iCs/>
          <w:sz w:val="20"/>
          <w:szCs w:val="20"/>
        </w:rPr>
      </w:pPr>
      <w:r w:rsidRPr="00AB7704">
        <w:rPr>
          <w:b/>
          <w:bCs/>
          <w:i/>
          <w:iCs/>
          <w:sz w:val="20"/>
          <w:szCs w:val="20"/>
        </w:rPr>
        <w:t>“</w:t>
      </w:r>
      <w:r w:rsidR="00296B62" w:rsidRPr="00AB7704">
        <w:rPr>
          <w:b/>
          <w:bCs/>
          <w:i/>
          <w:iCs/>
          <w:sz w:val="20"/>
          <w:szCs w:val="20"/>
        </w:rPr>
        <w:t>Qué cargos de empleados y funcionarios se encuentran en vacancia definitiva y no han sido publicados para opción de sede; indicando, en cada caso concreto, las razones para omitir su publicación</w:t>
      </w:r>
      <w:r w:rsidRPr="00AB7704">
        <w:rPr>
          <w:b/>
          <w:bCs/>
          <w:i/>
          <w:iCs/>
          <w:sz w:val="20"/>
          <w:szCs w:val="20"/>
        </w:rPr>
        <w:t>”</w:t>
      </w:r>
      <w:r w:rsidR="00296B62" w:rsidRPr="00AB7704">
        <w:rPr>
          <w:b/>
          <w:bCs/>
          <w:i/>
          <w:iCs/>
          <w:sz w:val="20"/>
          <w:szCs w:val="20"/>
        </w:rPr>
        <w:t xml:space="preserve">. </w:t>
      </w:r>
    </w:p>
    <w:p w14:paraId="0A597FAD" w14:textId="1F935C24" w:rsidR="008364FA" w:rsidRPr="00422955" w:rsidRDefault="008364FA" w:rsidP="00E6450A">
      <w:pPr>
        <w:pStyle w:val="Default"/>
        <w:jc w:val="both"/>
        <w:rPr>
          <w:sz w:val="22"/>
          <w:szCs w:val="22"/>
        </w:rPr>
      </w:pPr>
    </w:p>
    <w:p w14:paraId="54CDC7A2" w14:textId="48C18E51" w:rsidR="00A10C9E" w:rsidRPr="00422955" w:rsidRDefault="008E5161" w:rsidP="00E6450A">
      <w:pPr>
        <w:pStyle w:val="Default"/>
        <w:jc w:val="both"/>
        <w:rPr>
          <w:sz w:val="22"/>
          <w:szCs w:val="22"/>
        </w:rPr>
      </w:pPr>
      <w:r w:rsidRPr="00422955">
        <w:rPr>
          <w:sz w:val="22"/>
          <w:szCs w:val="22"/>
        </w:rPr>
        <w:t xml:space="preserve">Este Consejo Seccional de la Judicatura realiza la publicación </w:t>
      </w:r>
      <w:r w:rsidR="007C5005" w:rsidRPr="00422955">
        <w:rPr>
          <w:sz w:val="22"/>
          <w:szCs w:val="22"/>
        </w:rPr>
        <w:t>de la</w:t>
      </w:r>
      <w:r w:rsidR="009664B3" w:rsidRPr="00422955">
        <w:rPr>
          <w:sz w:val="22"/>
          <w:szCs w:val="22"/>
        </w:rPr>
        <w:t xml:space="preserve"> totalidad de</w:t>
      </w:r>
      <w:r w:rsidR="007C5005" w:rsidRPr="00422955">
        <w:rPr>
          <w:sz w:val="22"/>
          <w:szCs w:val="22"/>
        </w:rPr>
        <w:t xml:space="preserve"> vacantes definitivas generadas </w:t>
      </w:r>
      <w:r w:rsidR="00A10C9E" w:rsidRPr="00422955">
        <w:rPr>
          <w:sz w:val="22"/>
          <w:szCs w:val="22"/>
        </w:rPr>
        <w:t>durante la vigencia de la Convocatoria No. 4</w:t>
      </w:r>
      <w:r w:rsidR="00702671" w:rsidRPr="00422955">
        <w:rPr>
          <w:sz w:val="22"/>
          <w:szCs w:val="22"/>
        </w:rPr>
        <w:t>, tal como se informó en los puntos anteriores</w:t>
      </w:r>
      <w:r w:rsidR="00F807D0" w:rsidRPr="00422955">
        <w:rPr>
          <w:sz w:val="22"/>
          <w:szCs w:val="22"/>
        </w:rPr>
        <w:t>.</w:t>
      </w:r>
    </w:p>
    <w:p w14:paraId="447D9EA7" w14:textId="223C55B8" w:rsidR="006E7E65" w:rsidRPr="00422955" w:rsidRDefault="006E7E65" w:rsidP="00E6450A">
      <w:pPr>
        <w:pStyle w:val="Default"/>
        <w:jc w:val="both"/>
        <w:rPr>
          <w:sz w:val="22"/>
          <w:szCs w:val="22"/>
        </w:rPr>
      </w:pPr>
    </w:p>
    <w:p w14:paraId="7FB140A4" w14:textId="492F4D54" w:rsidR="006E7E65" w:rsidRPr="00422955" w:rsidRDefault="00BE3A2B" w:rsidP="00E6450A">
      <w:pPr>
        <w:pStyle w:val="Default"/>
        <w:jc w:val="both"/>
        <w:rPr>
          <w:sz w:val="22"/>
          <w:szCs w:val="22"/>
        </w:rPr>
      </w:pPr>
      <w:r w:rsidRPr="00422955">
        <w:rPr>
          <w:sz w:val="22"/>
          <w:szCs w:val="22"/>
        </w:rPr>
        <w:t xml:space="preserve">Es de anotar que </w:t>
      </w:r>
      <w:r w:rsidR="00884B02" w:rsidRPr="00422955">
        <w:rPr>
          <w:sz w:val="22"/>
          <w:szCs w:val="22"/>
        </w:rPr>
        <w:t>en este Distrito Judicial se presentan tres (3) eventos, que impiden la publicación de las siguientes vacantes definitivas:</w:t>
      </w:r>
    </w:p>
    <w:p w14:paraId="0EB85374" w14:textId="50663CEA" w:rsidR="00884B02" w:rsidRPr="00422955" w:rsidRDefault="00884B02" w:rsidP="00E6450A">
      <w:pPr>
        <w:pStyle w:val="Default"/>
        <w:jc w:val="both"/>
        <w:rPr>
          <w:sz w:val="22"/>
          <w:szCs w:val="22"/>
        </w:rPr>
      </w:pPr>
    </w:p>
    <w:tbl>
      <w:tblPr>
        <w:tblW w:w="0" w:type="auto"/>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36"/>
        <w:gridCol w:w="699"/>
        <w:gridCol w:w="2835"/>
        <w:gridCol w:w="3624"/>
      </w:tblGrid>
      <w:tr w:rsidR="006019EE" w:rsidRPr="00AB7704" w14:paraId="224DB0E7" w14:textId="77777777" w:rsidTr="006019EE">
        <w:tc>
          <w:tcPr>
            <w:tcW w:w="2136" w:type="dxa"/>
            <w:shd w:val="clear" w:color="auto" w:fill="B4C6E7"/>
            <w:vAlign w:val="center"/>
          </w:tcPr>
          <w:p w14:paraId="7D9DD357" w14:textId="28CB505E" w:rsidR="00884B02" w:rsidRPr="00AB7704" w:rsidRDefault="00884B02" w:rsidP="006019EE">
            <w:pPr>
              <w:pStyle w:val="Default"/>
              <w:jc w:val="center"/>
              <w:rPr>
                <w:b/>
                <w:bCs/>
                <w:sz w:val="16"/>
                <w:szCs w:val="16"/>
              </w:rPr>
            </w:pPr>
            <w:r w:rsidRPr="00AB7704">
              <w:rPr>
                <w:b/>
                <w:bCs/>
                <w:sz w:val="16"/>
                <w:szCs w:val="16"/>
              </w:rPr>
              <w:t>Cargo</w:t>
            </w:r>
          </w:p>
        </w:tc>
        <w:tc>
          <w:tcPr>
            <w:tcW w:w="699" w:type="dxa"/>
            <w:shd w:val="clear" w:color="auto" w:fill="B4C6E7"/>
            <w:vAlign w:val="center"/>
          </w:tcPr>
          <w:p w14:paraId="2AC1B2D5" w14:textId="39B4154E" w:rsidR="00884B02" w:rsidRPr="00AB7704" w:rsidRDefault="00884B02" w:rsidP="006019EE">
            <w:pPr>
              <w:pStyle w:val="Default"/>
              <w:jc w:val="center"/>
              <w:rPr>
                <w:b/>
                <w:bCs/>
                <w:sz w:val="16"/>
                <w:szCs w:val="16"/>
              </w:rPr>
            </w:pPr>
            <w:proofErr w:type="spellStart"/>
            <w:r w:rsidRPr="00AB7704">
              <w:rPr>
                <w:b/>
                <w:bCs/>
                <w:sz w:val="16"/>
                <w:szCs w:val="16"/>
              </w:rPr>
              <w:t>Cant</w:t>
            </w:r>
            <w:proofErr w:type="spellEnd"/>
            <w:r w:rsidR="008D4576" w:rsidRPr="00AB7704">
              <w:rPr>
                <w:b/>
                <w:bCs/>
                <w:sz w:val="16"/>
                <w:szCs w:val="16"/>
              </w:rPr>
              <w:t>.</w:t>
            </w:r>
          </w:p>
        </w:tc>
        <w:tc>
          <w:tcPr>
            <w:tcW w:w="2835" w:type="dxa"/>
            <w:shd w:val="clear" w:color="auto" w:fill="B4C6E7"/>
            <w:vAlign w:val="center"/>
          </w:tcPr>
          <w:p w14:paraId="63F66387" w14:textId="11BB8292" w:rsidR="00884B02" w:rsidRPr="00AB7704" w:rsidRDefault="00884B02" w:rsidP="006019EE">
            <w:pPr>
              <w:pStyle w:val="Default"/>
              <w:jc w:val="center"/>
              <w:rPr>
                <w:b/>
                <w:bCs/>
                <w:sz w:val="16"/>
                <w:szCs w:val="16"/>
              </w:rPr>
            </w:pPr>
            <w:r w:rsidRPr="00AB7704">
              <w:rPr>
                <w:b/>
                <w:bCs/>
                <w:sz w:val="16"/>
                <w:szCs w:val="16"/>
              </w:rPr>
              <w:t>Despacho judicial o dependencia administrativa</w:t>
            </w:r>
          </w:p>
        </w:tc>
        <w:tc>
          <w:tcPr>
            <w:tcW w:w="3624" w:type="dxa"/>
            <w:shd w:val="clear" w:color="auto" w:fill="B4C6E7"/>
            <w:vAlign w:val="center"/>
          </w:tcPr>
          <w:p w14:paraId="7E551D30" w14:textId="17FA964F" w:rsidR="00884B02" w:rsidRPr="00AB7704" w:rsidRDefault="00884B02" w:rsidP="006019EE">
            <w:pPr>
              <w:pStyle w:val="Default"/>
              <w:jc w:val="center"/>
              <w:rPr>
                <w:b/>
                <w:bCs/>
                <w:sz w:val="16"/>
                <w:szCs w:val="16"/>
              </w:rPr>
            </w:pPr>
            <w:r w:rsidRPr="00AB7704">
              <w:rPr>
                <w:b/>
                <w:bCs/>
                <w:sz w:val="16"/>
                <w:szCs w:val="16"/>
              </w:rPr>
              <w:t>Observación</w:t>
            </w:r>
          </w:p>
        </w:tc>
      </w:tr>
      <w:tr w:rsidR="006019EE" w:rsidRPr="00AB7704" w14:paraId="768D0C5D" w14:textId="77777777" w:rsidTr="006019EE">
        <w:tc>
          <w:tcPr>
            <w:tcW w:w="2136" w:type="dxa"/>
            <w:shd w:val="clear" w:color="auto" w:fill="F2F2F2"/>
            <w:vAlign w:val="center"/>
          </w:tcPr>
          <w:p w14:paraId="19884824" w14:textId="61EFAF8C" w:rsidR="00C71936" w:rsidRPr="00AB7704" w:rsidRDefault="00C71936" w:rsidP="006019EE">
            <w:pPr>
              <w:pStyle w:val="Default"/>
              <w:jc w:val="both"/>
              <w:rPr>
                <w:sz w:val="16"/>
                <w:szCs w:val="16"/>
              </w:rPr>
            </w:pPr>
            <w:r w:rsidRPr="00AB7704">
              <w:rPr>
                <w:b/>
                <w:bCs/>
                <w:sz w:val="16"/>
                <w:szCs w:val="16"/>
              </w:rPr>
              <w:t>Oficial Mayor nominado</w:t>
            </w:r>
          </w:p>
        </w:tc>
        <w:tc>
          <w:tcPr>
            <w:tcW w:w="699" w:type="dxa"/>
            <w:shd w:val="clear" w:color="auto" w:fill="F2F2F2"/>
            <w:vAlign w:val="center"/>
          </w:tcPr>
          <w:p w14:paraId="1C4445BA" w14:textId="454AC974" w:rsidR="00C71936" w:rsidRPr="00AB7704" w:rsidRDefault="00C71936" w:rsidP="006019EE">
            <w:pPr>
              <w:pStyle w:val="Default"/>
              <w:jc w:val="center"/>
              <w:rPr>
                <w:sz w:val="16"/>
                <w:szCs w:val="16"/>
              </w:rPr>
            </w:pPr>
            <w:r w:rsidRPr="00AB7704">
              <w:rPr>
                <w:sz w:val="16"/>
                <w:szCs w:val="16"/>
              </w:rPr>
              <w:t>4</w:t>
            </w:r>
          </w:p>
        </w:tc>
        <w:tc>
          <w:tcPr>
            <w:tcW w:w="2835" w:type="dxa"/>
            <w:vMerge w:val="restart"/>
            <w:shd w:val="clear" w:color="auto" w:fill="F2F2F2"/>
            <w:vAlign w:val="center"/>
          </w:tcPr>
          <w:p w14:paraId="0233B057" w14:textId="154608ED" w:rsidR="00C71936" w:rsidRPr="00AB7704" w:rsidRDefault="00C71936" w:rsidP="006019EE">
            <w:pPr>
              <w:pStyle w:val="Default"/>
              <w:jc w:val="both"/>
              <w:rPr>
                <w:sz w:val="16"/>
                <w:szCs w:val="16"/>
              </w:rPr>
            </w:pPr>
            <w:r w:rsidRPr="00AB7704">
              <w:rPr>
                <w:sz w:val="16"/>
                <w:szCs w:val="16"/>
              </w:rPr>
              <w:t>Centro de Servicios para los Juzgados Civiles y de Familia de Manizales</w:t>
            </w:r>
          </w:p>
        </w:tc>
        <w:tc>
          <w:tcPr>
            <w:tcW w:w="3624" w:type="dxa"/>
            <w:vMerge w:val="restart"/>
            <w:shd w:val="clear" w:color="auto" w:fill="auto"/>
            <w:vAlign w:val="center"/>
          </w:tcPr>
          <w:p w14:paraId="14009CD3" w14:textId="7850B797" w:rsidR="00C71936" w:rsidRPr="00AB7704" w:rsidRDefault="00C71936" w:rsidP="006019EE">
            <w:pPr>
              <w:pStyle w:val="Default"/>
              <w:jc w:val="both"/>
              <w:rPr>
                <w:sz w:val="16"/>
                <w:szCs w:val="16"/>
              </w:rPr>
            </w:pPr>
            <w:r w:rsidRPr="00AB7704">
              <w:rPr>
                <w:sz w:val="16"/>
                <w:szCs w:val="16"/>
              </w:rPr>
              <w:t>Mediante el Acuerdo PSAA13-9938 del 17 de junio de 2013 expedido por el Consejo Superior de la Judicatura, se dispuso el traslado de los cargos de oficial mayor de los Juzgados Civiles del Circuito de Anserma, Aguadas, Riosucio y Salamina, y el cargo de profesional universitario grado 14 de la Oficina de Servicios de La Dorada al Centro de Servicios CF de Manizales.</w:t>
            </w:r>
          </w:p>
        </w:tc>
      </w:tr>
      <w:tr w:rsidR="006019EE" w:rsidRPr="00AB7704" w14:paraId="14AE723D" w14:textId="77777777" w:rsidTr="006019EE">
        <w:tc>
          <w:tcPr>
            <w:tcW w:w="2136" w:type="dxa"/>
            <w:shd w:val="clear" w:color="auto" w:fill="auto"/>
            <w:vAlign w:val="center"/>
          </w:tcPr>
          <w:p w14:paraId="2DC1987D" w14:textId="1CD17B8F" w:rsidR="00C71936" w:rsidRPr="00AB7704" w:rsidRDefault="00C71936" w:rsidP="006019EE">
            <w:pPr>
              <w:pStyle w:val="Default"/>
              <w:jc w:val="both"/>
              <w:rPr>
                <w:b/>
                <w:bCs/>
                <w:sz w:val="16"/>
                <w:szCs w:val="16"/>
              </w:rPr>
            </w:pPr>
            <w:r w:rsidRPr="00AB7704">
              <w:rPr>
                <w:b/>
                <w:bCs/>
                <w:sz w:val="16"/>
                <w:szCs w:val="16"/>
              </w:rPr>
              <w:t>Profesional Universitario grado 14</w:t>
            </w:r>
          </w:p>
        </w:tc>
        <w:tc>
          <w:tcPr>
            <w:tcW w:w="699" w:type="dxa"/>
            <w:shd w:val="clear" w:color="auto" w:fill="auto"/>
            <w:vAlign w:val="center"/>
          </w:tcPr>
          <w:p w14:paraId="7703C90D" w14:textId="4CA22C26" w:rsidR="00C71936" w:rsidRPr="00AB7704" w:rsidRDefault="00C71936" w:rsidP="006019EE">
            <w:pPr>
              <w:pStyle w:val="Default"/>
              <w:jc w:val="center"/>
              <w:rPr>
                <w:sz w:val="16"/>
                <w:szCs w:val="16"/>
              </w:rPr>
            </w:pPr>
            <w:r w:rsidRPr="00AB7704">
              <w:rPr>
                <w:sz w:val="16"/>
                <w:szCs w:val="16"/>
              </w:rPr>
              <w:t>1</w:t>
            </w:r>
          </w:p>
        </w:tc>
        <w:tc>
          <w:tcPr>
            <w:tcW w:w="2835" w:type="dxa"/>
            <w:vMerge/>
            <w:shd w:val="clear" w:color="auto" w:fill="auto"/>
            <w:vAlign w:val="center"/>
          </w:tcPr>
          <w:p w14:paraId="6744E929" w14:textId="77777777" w:rsidR="00C71936" w:rsidRPr="00AB7704" w:rsidRDefault="00C71936" w:rsidP="006019EE">
            <w:pPr>
              <w:pStyle w:val="Default"/>
              <w:jc w:val="both"/>
              <w:rPr>
                <w:sz w:val="16"/>
                <w:szCs w:val="16"/>
              </w:rPr>
            </w:pPr>
          </w:p>
        </w:tc>
        <w:tc>
          <w:tcPr>
            <w:tcW w:w="3624" w:type="dxa"/>
            <w:vMerge/>
            <w:shd w:val="clear" w:color="auto" w:fill="auto"/>
            <w:vAlign w:val="center"/>
          </w:tcPr>
          <w:p w14:paraId="59B1CA65" w14:textId="77777777" w:rsidR="00C71936" w:rsidRPr="00AB7704" w:rsidRDefault="00C71936" w:rsidP="006019EE">
            <w:pPr>
              <w:pStyle w:val="Default"/>
              <w:jc w:val="both"/>
              <w:rPr>
                <w:sz w:val="16"/>
                <w:szCs w:val="16"/>
              </w:rPr>
            </w:pPr>
          </w:p>
        </w:tc>
      </w:tr>
      <w:tr w:rsidR="006019EE" w:rsidRPr="00AB7704" w14:paraId="7605B456" w14:textId="77777777" w:rsidTr="006019EE">
        <w:tc>
          <w:tcPr>
            <w:tcW w:w="2136" w:type="dxa"/>
            <w:shd w:val="clear" w:color="auto" w:fill="F2F2F2"/>
            <w:vAlign w:val="center"/>
          </w:tcPr>
          <w:p w14:paraId="1C204818" w14:textId="71A23838" w:rsidR="00884B02" w:rsidRPr="00AB7704" w:rsidRDefault="00341C6A" w:rsidP="006019EE">
            <w:pPr>
              <w:pStyle w:val="Default"/>
              <w:jc w:val="both"/>
              <w:rPr>
                <w:sz w:val="16"/>
                <w:szCs w:val="16"/>
              </w:rPr>
            </w:pPr>
            <w:r w:rsidRPr="00AB7704">
              <w:rPr>
                <w:b/>
                <w:bCs/>
                <w:sz w:val="16"/>
                <w:szCs w:val="16"/>
              </w:rPr>
              <w:t>Oficial mayor o sustanciador</w:t>
            </w:r>
          </w:p>
        </w:tc>
        <w:tc>
          <w:tcPr>
            <w:tcW w:w="699" w:type="dxa"/>
            <w:shd w:val="clear" w:color="auto" w:fill="F2F2F2"/>
            <w:vAlign w:val="center"/>
          </w:tcPr>
          <w:p w14:paraId="1D7A8162" w14:textId="55A66797" w:rsidR="00884B02" w:rsidRPr="00AB7704" w:rsidRDefault="00341C6A" w:rsidP="006019EE">
            <w:pPr>
              <w:pStyle w:val="Default"/>
              <w:jc w:val="center"/>
              <w:rPr>
                <w:sz w:val="16"/>
                <w:szCs w:val="16"/>
              </w:rPr>
            </w:pPr>
            <w:r w:rsidRPr="00AB7704">
              <w:rPr>
                <w:sz w:val="16"/>
                <w:szCs w:val="16"/>
              </w:rPr>
              <w:t>1</w:t>
            </w:r>
          </w:p>
        </w:tc>
        <w:tc>
          <w:tcPr>
            <w:tcW w:w="2835" w:type="dxa"/>
            <w:shd w:val="clear" w:color="auto" w:fill="F2F2F2"/>
            <w:vAlign w:val="center"/>
          </w:tcPr>
          <w:p w14:paraId="7FC25D12" w14:textId="3E82E66E" w:rsidR="00884B02" w:rsidRPr="00AB7704" w:rsidRDefault="0049466B" w:rsidP="006019EE">
            <w:pPr>
              <w:pStyle w:val="Default"/>
              <w:jc w:val="both"/>
              <w:rPr>
                <w:sz w:val="16"/>
                <w:szCs w:val="16"/>
              </w:rPr>
            </w:pPr>
            <w:r w:rsidRPr="00AB7704">
              <w:rPr>
                <w:sz w:val="16"/>
                <w:szCs w:val="16"/>
              </w:rPr>
              <w:t>Juzgado Penal del Circuito de Puerto Boyacá</w:t>
            </w:r>
          </w:p>
        </w:tc>
        <w:tc>
          <w:tcPr>
            <w:tcW w:w="3624" w:type="dxa"/>
            <w:shd w:val="clear" w:color="auto" w:fill="F2F2F2"/>
            <w:vAlign w:val="center"/>
          </w:tcPr>
          <w:p w14:paraId="5E797EE3" w14:textId="77777777" w:rsidR="00884B02" w:rsidRPr="00AB7704" w:rsidRDefault="00884B02" w:rsidP="006019EE">
            <w:pPr>
              <w:pStyle w:val="Default"/>
              <w:jc w:val="both"/>
              <w:rPr>
                <w:sz w:val="16"/>
                <w:szCs w:val="16"/>
              </w:rPr>
            </w:pPr>
          </w:p>
        </w:tc>
      </w:tr>
      <w:tr w:rsidR="006019EE" w:rsidRPr="00AB7704" w14:paraId="7AC45F4A" w14:textId="77777777" w:rsidTr="006019EE">
        <w:tc>
          <w:tcPr>
            <w:tcW w:w="2136" w:type="dxa"/>
            <w:shd w:val="clear" w:color="auto" w:fill="auto"/>
            <w:vAlign w:val="center"/>
          </w:tcPr>
          <w:p w14:paraId="1E3D5721" w14:textId="77777777" w:rsidR="0049466B" w:rsidRPr="00AB7704" w:rsidRDefault="0049466B" w:rsidP="006019EE">
            <w:pPr>
              <w:pStyle w:val="Default"/>
              <w:jc w:val="both"/>
              <w:rPr>
                <w:sz w:val="16"/>
                <w:szCs w:val="16"/>
              </w:rPr>
            </w:pPr>
          </w:p>
        </w:tc>
        <w:tc>
          <w:tcPr>
            <w:tcW w:w="699" w:type="dxa"/>
            <w:shd w:val="clear" w:color="auto" w:fill="auto"/>
            <w:vAlign w:val="center"/>
          </w:tcPr>
          <w:p w14:paraId="32444FC0" w14:textId="77777777" w:rsidR="0049466B" w:rsidRPr="00AB7704" w:rsidRDefault="0049466B" w:rsidP="006019EE">
            <w:pPr>
              <w:pStyle w:val="Default"/>
              <w:jc w:val="center"/>
              <w:rPr>
                <w:sz w:val="16"/>
                <w:szCs w:val="16"/>
              </w:rPr>
            </w:pPr>
          </w:p>
        </w:tc>
        <w:tc>
          <w:tcPr>
            <w:tcW w:w="2835" w:type="dxa"/>
            <w:shd w:val="clear" w:color="auto" w:fill="auto"/>
            <w:vAlign w:val="center"/>
          </w:tcPr>
          <w:p w14:paraId="01B44C86" w14:textId="57986B6E" w:rsidR="0049466B" w:rsidRPr="00AB7704" w:rsidRDefault="0049466B" w:rsidP="006019EE">
            <w:pPr>
              <w:pStyle w:val="Default"/>
              <w:jc w:val="both"/>
              <w:rPr>
                <w:sz w:val="16"/>
                <w:szCs w:val="16"/>
              </w:rPr>
            </w:pPr>
            <w:r w:rsidRPr="00AB7704">
              <w:rPr>
                <w:sz w:val="16"/>
                <w:szCs w:val="16"/>
              </w:rPr>
              <w:t>Juzgado Primero Promiscuo Municipal de Salamina, Caldas</w:t>
            </w:r>
          </w:p>
        </w:tc>
        <w:tc>
          <w:tcPr>
            <w:tcW w:w="3624" w:type="dxa"/>
            <w:shd w:val="clear" w:color="auto" w:fill="auto"/>
            <w:vAlign w:val="center"/>
          </w:tcPr>
          <w:p w14:paraId="7CE86700" w14:textId="38398560" w:rsidR="0049466B" w:rsidRPr="00AB7704" w:rsidRDefault="00682482" w:rsidP="006019EE">
            <w:pPr>
              <w:pStyle w:val="Default"/>
              <w:jc w:val="both"/>
              <w:rPr>
                <w:sz w:val="16"/>
                <w:szCs w:val="16"/>
              </w:rPr>
            </w:pPr>
            <w:r w:rsidRPr="00AB7704">
              <w:rPr>
                <w:sz w:val="16"/>
                <w:szCs w:val="16"/>
              </w:rPr>
              <w:t>El Consejo Seccional de la Judicatura de Caldas formuló proyecto de reordenamiento judicial ante la UDAE del Consejo Superior de la Judicatura</w:t>
            </w:r>
          </w:p>
        </w:tc>
      </w:tr>
    </w:tbl>
    <w:p w14:paraId="7D3BCA8D" w14:textId="77777777" w:rsidR="00884B02" w:rsidRPr="00422955" w:rsidRDefault="00884B02" w:rsidP="00E6450A">
      <w:pPr>
        <w:pStyle w:val="Default"/>
        <w:jc w:val="both"/>
        <w:rPr>
          <w:sz w:val="22"/>
          <w:szCs w:val="22"/>
        </w:rPr>
      </w:pPr>
    </w:p>
    <w:p w14:paraId="50863DA2" w14:textId="42D69DA1" w:rsidR="00296B62" w:rsidRPr="00AB7704" w:rsidRDefault="00B34AA9" w:rsidP="00E6450A">
      <w:pPr>
        <w:pStyle w:val="Default"/>
        <w:numPr>
          <w:ilvl w:val="0"/>
          <w:numId w:val="5"/>
        </w:numPr>
        <w:jc w:val="both"/>
        <w:rPr>
          <w:b/>
          <w:bCs/>
          <w:i/>
          <w:iCs/>
          <w:sz w:val="20"/>
          <w:szCs w:val="20"/>
        </w:rPr>
      </w:pPr>
      <w:r w:rsidRPr="00AB7704">
        <w:rPr>
          <w:b/>
          <w:bCs/>
          <w:i/>
          <w:iCs/>
          <w:sz w:val="20"/>
          <w:szCs w:val="20"/>
        </w:rPr>
        <w:t>“</w:t>
      </w:r>
      <w:r w:rsidR="00296B62" w:rsidRPr="00AB7704">
        <w:rPr>
          <w:b/>
          <w:bCs/>
          <w:i/>
          <w:iCs/>
          <w:sz w:val="20"/>
          <w:szCs w:val="20"/>
        </w:rPr>
        <w:t>En qué estado se encuentra el trámite para decidir la ubicación definitiva de los cargos de oficial mayor que fueron trasladados transitoriamente de los Juzgados de Circuito al Centro de Servicios Civil Familia de Manizales</w:t>
      </w:r>
      <w:r w:rsidRPr="00AB7704">
        <w:rPr>
          <w:b/>
          <w:bCs/>
          <w:i/>
          <w:iCs/>
          <w:sz w:val="20"/>
          <w:szCs w:val="20"/>
        </w:rPr>
        <w:t>”</w:t>
      </w:r>
      <w:r w:rsidR="00296B62" w:rsidRPr="00AB7704">
        <w:rPr>
          <w:b/>
          <w:bCs/>
          <w:i/>
          <w:iCs/>
          <w:sz w:val="20"/>
          <w:szCs w:val="20"/>
        </w:rPr>
        <w:t xml:space="preserve">. </w:t>
      </w:r>
    </w:p>
    <w:p w14:paraId="2908E19C" w14:textId="3A9882EE" w:rsidR="00296B62" w:rsidRPr="00422955" w:rsidRDefault="00296B62" w:rsidP="00E6450A">
      <w:pPr>
        <w:pStyle w:val="Default"/>
        <w:jc w:val="both"/>
        <w:rPr>
          <w:sz w:val="22"/>
          <w:szCs w:val="22"/>
        </w:rPr>
      </w:pPr>
    </w:p>
    <w:p w14:paraId="07E3C619" w14:textId="77777777" w:rsidR="00DF7293" w:rsidRPr="00422955" w:rsidRDefault="00DF7293" w:rsidP="00E6450A">
      <w:pPr>
        <w:pStyle w:val="Default"/>
        <w:jc w:val="both"/>
        <w:rPr>
          <w:sz w:val="22"/>
          <w:szCs w:val="22"/>
        </w:rPr>
      </w:pPr>
    </w:p>
    <w:p w14:paraId="779275E3" w14:textId="77777777" w:rsidR="004C3DB6" w:rsidRPr="00422955" w:rsidRDefault="004C3DB6" w:rsidP="00E6450A">
      <w:pPr>
        <w:pStyle w:val="Default"/>
        <w:jc w:val="both"/>
        <w:rPr>
          <w:sz w:val="22"/>
          <w:szCs w:val="22"/>
        </w:rPr>
      </w:pPr>
    </w:p>
    <w:p w14:paraId="4459D59F" w14:textId="48335432" w:rsidR="004C3DB6" w:rsidRPr="00422955" w:rsidRDefault="004C3DB6" w:rsidP="00E6450A">
      <w:pPr>
        <w:pStyle w:val="Default"/>
        <w:jc w:val="both"/>
        <w:rPr>
          <w:sz w:val="22"/>
          <w:szCs w:val="22"/>
        </w:rPr>
      </w:pPr>
    </w:p>
    <w:p w14:paraId="7431D4F5" w14:textId="36C3B031" w:rsidR="00DF7293" w:rsidRPr="00422955" w:rsidRDefault="00DF7293" w:rsidP="00E6450A">
      <w:pPr>
        <w:pStyle w:val="Default"/>
        <w:jc w:val="both"/>
        <w:rPr>
          <w:sz w:val="22"/>
          <w:szCs w:val="22"/>
        </w:rPr>
      </w:pPr>
    </w:p>
    <w:p w14:paraId="0C4B24F1" w14:textId="39D4DC8F" w:rsidR="00DF7293" w:rsidRPr="00422955" w:rsidRDefault="00DF7293" w:rsidP="00E6450A">
      <w:pPr>
        <w:pStyle w:val="Default"/>
        <w:jc w:val="both"/>
        <w:rPr>
          <w:sz w:val="22"/>
          <w:szCs w:val="22"/>
        </w:rPr>
      </w:pPr>
    </w:p>
    <w:p w14:paraId="04433094" w14:textId="77777777" w:rsidR="003F2FEC" w:rsidRPr="00422955" w:rsidRDefault="003F2FEC" w:rsidP="00E6450A">
      <w:pPr>
        <w:jc w:val="both"/>
        <w:rPr>
          <w:rFonts w:ascii="Arial" w:hAnsi="Arial" w:cs="Arial"/>
          <w:color w:val="000000"/>
          <w:sz w:val="22"/>
          <w:szCs w:val="22"/>
          <w:lang w:val="es-CO"/>
        </w:rPr>
      </w:pPr>
      <w:r w:rsidRPr="00422955">
        <w:rPr>
          <w:rFonts w:ascii="Arial" w:hAnsi="Arial" w:cs="Arial"/>
          <w:color w:val="000000"/>
          <w:sz w:val="22"/>
          <w:szCs w:val="22"/>
          <w:lang w:val="es-CO"/>
        </w:rPr>
        <w:t>Atentamente,</w:t>
      </w:r>
    </w:p>
    <w:p w14:paraId="20AB4149" w14:textId="77777777" w:rsidR="003F2FEC" w:rsidRPr="00422955" w:rsidRDefault="003F2FEC" w:rsidP="00E6450A">
      <w:pPr>
        <w:jc w:val="both"/>
        <w:rPr>
          <w:rFonts w:ascii="Arial" w:hAnsi="Arial" w:cs="Arial"/>
          <w:color w:val="000000"/>
          <w:sz w:val="22"/>
          <w:szCs w:val="22"/>
          <w:lang w:val="es-CO"/>
        </w:rPr>
      </w:pPr>
    </w:p>
    <w:p w14:paraId="64F45265" w14:textId="384CA99D" w:rsidR="003F2FEC" w:rsidRPr="00422955" w:rsidRDefault="003F2FEC" w:rsidP="00E6450A">
      <w:pPr>
        <w:jc w:val="both"/>
        <w:rPr>
          <w:rFonts w:ascii="Arial" w:hAnsi="Arial" w:cs="Arial"/>
          <w:color w:val="000000"/>
          <w:sz w:val="22"/>
          <w:szCs w:val="22"/>
          <w:lang w:val="es-CO"/>
        </w:rPr>
      </w:pPr>
    </w:p>
    <w:p w14:paraId="0C09E242" w14:textId="77777777" w:rsidR="003F2FEC" w:rsidRPr="00422955" w:rsidRDefault="003F2FEC" w:rsidP="00E6450A">
      <w:pPr>
        <w:jc w:val="both"/>
        <w:rPr>
          <w:rFonts w:ascii="Arial" w:hAnsi="Arial" w:cs="Arial"/>
          <w:color w:val="000000"/>
          <w:sz w:val="22"/>
          <w:szCs w:val="22"/>
          <w:lang w:val="es-CO"/>
        </w:rPr>
      </w:pPr>
    </w:p>
    <w:p w14:paraId="7239B13A" w14:textId="77777777" w:rsidR="003F2FEC" w:rsidRPr="00422955" w:rsidRDefault="003F2FEC" w:rsidP="00E6450A">
      <w:pPr>
        <w:jc w:val="both"/>
        <w:rPr>
          <w:rFonts w:ascii="Arial" w:hAnsi="Arial" w:cs="Arial"/>
          <w:b/>
          <w:bCs/>
          <w:color w:val="000000"/>
          <w:sz w:val="22"/>
          <w:szCs w:val="22"/>
        </w:rPr>
      </w:pPr>
    </w:p>
    <w:p w14:paraId="2A50E134" w14:textId="77777777" w:rsidR="003F2FEC" w:rsidRPr="00422955" w:rsidRDefault="003F2FEC" w:rsidP="00E6450A">
      <w:pPr>
        <w:jc w:val="both"/>
        <w:rPr>
          <w:rFonts w:ascii="Arial" w:hAnsi="Arial" w:cs="Arial"/>
          <w:b/>
          <w:bCs/>
          <w:color w:val="000000"/>
          <w:sz w:val="22"/>
          <w:szCs w:val="22"/>
        </w:rPr>
      </w:pPr>
    </w:p>
    <w:p w14:paraId="7BDC475A" w14:textId="77777777" w:rsidR="003F2FEC" w:rsidRPr="00422955" w:rsidRDefault="003F2FEC" w:rsidP="00E6450A">
      <w:pPr>
        <w:jc w:val="both"/>
        <w:rPr>
          <w:rFonts w:ascii="Arial" w:eastAsia="Arial" w:hAnsi="Arial" w:cs="Arial"/>
          <w:b/>
          <w:bCs/>
          <w:sz w:val="22"/>
          <w:szCs w:val="22"/>
          <w:lang w:val="es-CO"/>
        </w:rPr>
      </w:pPr>
      <w:r w:rsidRPr="00422955">
        <w:rPr>
          <w:rFonts w:ascii="Arial" w:eastAsia="Arial" w:hAnsi="Arial" w:cs="Arial"/>
          <w:b/>
          <w:bCs/>
          <w:sz w:val="22"/>
          <w:szCs w:val="22"/>
          <w:lang w:val="es-CO"/>
        </w:rPr>
        <w:t>VICTORIA EUGENIA VELÁSQUEZ MARÍN</w:t>
      </w:r>
    </w:p>
    <w:p w14:paraId="4CAA4221" w14:textId="77777777" w:rsidR="003F2FEC" w:rsidRPr="00422955" w:rsidRDefault="003F2FEC" w:rsidP="00E6450A">
      <w:pPr>
        <w:jc w:val="both"/>
        <w:rPr>
          <w:rFonts w:ascii="Arial" w:eastAsia="Arial" w:hAnsi="Arial" w:cs="Arial"/>
          <w:sz w:val="22"/>
          <w:szCs w:val="22"/>
          <w:lang w:val="es-CO"/>
        </w:rPr>
      </w:pPr>
      <w:r w:rsidRPr="00422955">
        <w:rPr>
          <w:rFonts w:ascii="Arial" w:eastAsia="Arial" w:hAnsi="Arial" w:cs="Arial"/>
          <w:sz w:val="22"/>
          <w:szCs w:val="22"/>
          <w:lang w:val="es-CO"/>
        </w:rPr>
        <w:t>Presidente</w:t>
      </w:r>
    </w:p>
    <w:p w14:paraId="3DF6D7FF" w14:textId="3863FDC7" w:rsidR="00C20286" w:rsidRPr="00422955" w:rsidRDefault="00C20286" w:rsidP="00E6450A">
      <w:pPr>
        <w:pStyle w:val="Encabezado"/>
        <w:jc w:val="both"/>
        <w:rPr>
          <w:rFonts w:ascii="Arial" w:hAnsi="Arial" w:cs="Arial"/>
          <w:sz w:val="22"/>
          <w:szCs w:val="22"/>
          <w:lang w:val="es-CO"/>
        </w:rPr>
      </w:pPr>
    </w:p>
    <w:p w14:paraId="1903B454" w14:textId="5BB8C245" w:rsidR="00CF1BAE" w:rsidRPr="00240B7C" w:rsidRDefault="00C20286" w:rsidP="00E6450A">
      <w:pPr>
        <w:pStyle w:val="Encabezado"/>
        <w:jc w:val="both"/>
        <w:rPr>
          <w:rFonts w:ascii="Arial" w:hAnsi="Arial" w:cs="Arial"/>
          <w:sz w:val="16"/>
          <w:szCs w:val="16"/>
          <w:lang w:val="es-CO"/>
        </w:rPr>
      </w:pPr>
      <w:r w:rsidRPr="00240B7C">
        <w:rPr>
          <w:rFonts w:ascii="Arial" w:hAnsi="Arial" w:cs="Arial"/>
          <w:sz w:val="16"/>
          <w:szCs w:val="16"/>
          <w:lang w:val="es-CO"/>
        </w:rPr>
        <w:t>Anexos:</w:t>
      </w:r>
      <w:r w:rsidR="00CF7CB8" w:rsidRPr="00240B7C">
        <w:rPr>
          <w:rFonts w:ascii="Arial" w:hAnsi="Arial" w:cs="Arial"/>
          <w:sz w:val="16"/>
          <w:szCs w:val="16"/>
          <w:lang w:val="es-CO"/>
        </w:rPr>
        <w:t xml:space="preserve"> </w:t>
      </w:r>
    </w:p>
    <w:p w14:paraId="52750618" w14:textId="6E779577" w:rsidR="006F0573" w:rsidRPr="00240B7C" w:rsidRDefault="006F0573" w:rsidP="00E6450A">
      <w:pPr>
        <w:pStyle w:val="Encabezado"/>
        <w:jc w:val="both"/>
        <w:rPr>
          <w:rFonts w:ascii="Arial" w:hAnsi="Arial" w:cs="Arial"/>
          <w:sz w:val="16"/>
          <w:szCs w:val="16"/>
          <w:lang w:val="es-CO"/>
        </w:rPr>
      </w:pPr>
    </w:p>
    <w:p w14:paraId="7CADF2C2" w14:textId="1A2254CC" w:rsidR="006F0573" w:rsidRPr="00240B7C" w:rsidRDefault="00737071" w:rsidP="00E6450A">
      <w:pPr>
        <w:pStyle w:val="Default"/>
        <w:numPr>
          <w:ilvl w:val="0"/>
          <w:numId w:val="13"/>
        </w:numPr>
        <w:jc w:val="both"/>
        <w:rPr>
          <w:sz w:val="16"/>
          <w:szCs w:val="16"/>
        </w:rPr>
      </w:pPr>
      <w:r w:rsidRPr="00240B7C">
        <w:rPr>
          <w:sz w:val="16"/>
          <w:szCs w:val="16"/>
        </w:rPr>
        <w:t xml:space="preserve">Registro Seccional de Elegibles </w:t>
      </w:r>
      <w:r w:rsidR="003420C6" w:rsidRPr="00240B7C">
        <w:rPr>
          <w:sz w:val="16"/>
          <w:szCs w:val="16"/>
        </w:rPr>
        <w:t>– actualizado al 16 de junio de 2025.</w:t>
      </w:r>
    </w:p>
    <w:p w14:paraId="321BD473" w14:textId="600AFD67" w:rsidR="00973AC3" w:rsidRPr="00240B7C" w:rsidRDefault="000927BB" w:rsidP="00E6450A">
      <w:pPr>
        <w:pStyle w:val="Default"/>
        <w:numPr>
          <w:ilvl w:val="0"/>
          <w:numId w:val="13"/>
        </w:numPr>
        <w:jc w:val="both"/>
        <w:rPr>
          <w:sz w:val="16"/>
          <w:szCs w:val="16"/>
        </w:rPr>
      </w:pPr>
      <w:hyperlink r:id="rId13" w:history="1">
        <w:r w:rsidR="006607EB" w:rsidRPr="00240B7C">
          <w:rPr>
            <w:sz w:val="16"/>
            <w:szCs w:val="16"/>
          </w:rPr>
          <w:t>Listado de Vacantes definitivas de cargos de Juez de la República en el Distrito Judicial de Manizales con corte al 31 de mayo de 2025</w:t>
        </w:r>
      </w:hyperlink>
      <w:r w:rsidR="006607EB" w:rsidRPr="00240B7C">
        <w:rPr>
          <w:sz w:val="16"/>
          <w:szCs w:val="16"/>
        </w:rPr>
        <w:t>.</w:t>
      </w:r>
    </w:p>
    <w:p w14:paraId="20A83871" w14:textId="16994E16" w:rsidR="00C532F9" w:rsidRPr="00240B7C" w:rsidRDefault="00C532F9" w:rsidP="00E6450A">
      <w:pPr>
        <w:pStyle w:val="Default"/>
        <w:numPr>
          <w:ilvl w:val="0"/>
          <w:numId w:val="13"/>
        </w:numPr>
        <w:jc w:val="both"/>
        <w:rPr>
          <w:sz w:val="16"/>
          <w:szCs w:val="16"/>
        </w:rPr>
      </w:pPr>
      <w:r w:rsidRPr="00240B7C">
        <w:rPr>
          <w:sz w:val="16"/>
          <w:szCs w:val="16"/>
        </w:rPr>
        <w:t>Vacantes definitivas de cargos de empleados en junio de 2025.</w:t>
      </w:r>
    </w:p>
    <w:p w14:paraId="12557012" w14:textId="40BBC316" w:rsidR="005F26BA" w:rsidRPr="00240B7C" w:rsidRDefault="005F26BA" w:rsidP="00E6450A">
      <w:pPr>
        <w:pStyle w:val="Default"/>
        <w:numPr>
          <w:ilvl w:val="0"/>
          <w:numId w:val="13"/>
        </w:numPr>
        <w:jc w:val="both"/>
        <w:rPr>
          <w:sz w:val="16"/>
          <w:szCs w:val="16"/>
        </w:rPr>
      </w:pPr>
      <w:r w:rsidRPr="00240B7C">
        <w:rPr>
          <w:sz w:val="16"/>
          <w:szCs w:val="16"/>
        </w:rPr>
        <w:t>Concursantes posesionados en carrera judicial durante la vigencia de la Convocatoria No. 4.</w:t>
      </w:r>
    </w:p>
    <w:p w14:paraId="15B77834" w14:textId="3A8B1D7C" w:rsidR="006F0573" w:rsidRPr="00240B7C" w:rsidRDefault="006F0573" w:rsidP="00E6450A">
      <w:pPr>
        <w:pStyle w:val="Encabezado"/>
        <w:jc w:val="both"/>
        <w:rPr>
          <w:rFonts w:ascii="Arial" w:hAnsi="Arial" w:cs="Arial"/>
          <w:sz w:val="16"/>
          <w:szCs w:val="16"/>
          <w:lang w:val="es-CO"/>
        </w:rPr>
      </w:pPr>
    </w:p>
    <w:p w14:paraId="05F6F98A" w14:textId="6ECFCE4A" w:rsidR="006F0573" w:rsidRPr="00240B7C" w:rsidRDefault="006F0573" w:rsidP="00E6450A">
      <w:pPr>
        <w:pStyle w:val="Encabezado"/>
        <w:jc w:val="both"/>
        <w:rPr>
          <w:rFonts w:ascii="Arial" w:hAnsi="Arial" w:cs="Arial"/>
          <w:sz w:val="16"/>
          <w:szCs w:val="16"/>
          <w:lang w:val="es-CO"/>
        </w:rPr>
      </w:pPr>
    </w:p>
    <w:p w14:paraId="3529DEB3" w14:textId="77777777" w:rsidR="006F0573" w:rsidRPr="00240B7C" w:rsidRDefault="006F0573" w:rsidP="00E6450A">
      <w:pPr>
        <w:pStyle w:val="Encabezado"/>
        <w:jc w:val="both"/>
        <w:rPr>
          <w:rFonts w:ascii="Arial" w:hAnsi="Arial" w:cs="Arial"/>
          <w:sz w:val="16"/>
          <w:szCs w:val="16"/>
          <w:lang w:val="es-CO"/>
        </w:rPr>
      </w:pPr>
    </w:p>
    <w:p w14:paraId="158156A2" w14:textId="77777777" w:rsidR="00027085" w:rsidRPr="00240B7C" w:rsidRDefault="00027085" w:rsidP="00E6450A">
      <w:pPr>
        <w:rPr>
          <w:rFonts w:ascii="Arial" w:hAnsi="Arial" w:cs="Arial"/>
          <w:sz w:val="16"/>
          <w:szCs w:val="16"/>
        </w:rPr>
      </w:pPr>
      <w:r w:rsidRPr="00240B7C">
        <w:rPr>
          <w:rFonts w:ascii="Arial" w:hAnsi="Arial" w:cs="Arial"/>
          <w:sz w:val="16"/>
          <w:szCs w:val="16"/>
        </w:rPr>
        <w:t>CP: BEAV</w:t>
      </w:r>
    </w:p>
    <w:p w14:paraId="1094053D" w14:textId="29352927" w:rsidR="00027085" w:rsidRPr="00240B7C" w:rsidRDefault="00027085" w:rsidP="00E6450A">
      <w:pPr>
        <w:rPr>
          <w:rFonts w:ascii="Arial" w:hAnsi="Arial" w:cs="Arial"/>
          <w:sz w:val="16"/>
          <w:szCs w:val="16"/>
        </w:rPr>
      </w:pPr>
      <w:r w:rsidRPr="00240B7C">
        <w:rPr>
          <w:rFonts w:ascii="Arial" w:hAnsi="Arial" w:cs="Arial"/>
          <w:sz w:val="16"/>
          <w:szCs w:val="16"/>
        </w:rPr>
        <w:t>Proyectó: BEAV/DMAG</w:t>
      </w:r>
    </w:p>
    <w:p w14:paraId="5CD3E660" w14:textId="77777777" w:rsidR="00240B7C" w:rsidRPr="00240B7C" w:rsidRDefault="00240B7C">
      <w:pPr>
        <w:rPr>
          <w:rFonts w:ascii="Arial" w:hAnsi="Arial" w:cs="Arial"/>
          <w:sz w:val="16"/>
          <w:szCs w:val="16"/>
        </w:rPr>
      </w:pPr>
    </w:p>
    <w:sectPr w:rsidR="00240B7C" w:rsidRPr="00240B7C" w:rsidSect="001D1AE6">
      <w:headerReference w:type="default" r:id="rId14"/>
      <w:footerReference w:type="default" r:id="rId15"/>
      <w:headerReference w:type="first" r:id="rId16"/>
      <w:footerReference w:type="first" r:id="rId17"/>
      <w:pgSz w:w="12240" w:h="18720" w:code="14"/>
      <w:pgMar w:top="1701" w:right="1418" w:bottom="1701"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577C" w14:textId="77777777" w:rsidR="000927BB" w:rsidRDefault="000927BB">
      <w:r>
        <w:separator/>
      </w:r>
    </w:p>
  </w:endnote>
  <w:endnote w:type="continuationSeparator" w:id="0">
    <w:p w14:paraId="3C98416B" w14:textId="77777777" w:rsidR="000927BB" w:rsidRDefault="0009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4634" w14:textId="77777777" w:rsidR="00624B79" w:rsidRDefault="00236967">
    <w:pPr>
      <w:pStyle w:val="Piedepgina"/>
      <w:jc w:val="center"/>
      <w:rPr>
        <w:rFonts w:ascii="Berylum" w:hAnsi="Berylum"/>
        <w:bCs/>
        <w:iCs/>
        <w:sz w:val="22"/>
        <w:szCs w:val="22"/>
      </w:rPr>
    </w:pPr>
    <w:r>
      <w:rPr>
        <w:rFonts w:ascii="Berylum" w:hAnsi="Berylum"/>
        <w:bCs/>
        <w:iCs/>
        <w:sz w:val="22"/>
        <w:szCs w:val="22"/>
      </w:rPr>
      <w:t xml:space="preserve">Carrera 23 No. 21 – </w:t>
    </w:r>
    <w:proofErr w:type="gramStart"/>
    <w:r>
      <w:rPr>
        <w:rFonts w:ascii="Berylum" w:hAnsi="Berylum"/>
        <w:bCs/>
        <w:iCs/>
        <w:sz w:val="22"/>
        <w:szCs w:val="22"/>
      </w:rPr>
      <w:t>48  Palacio</w:t>
    </w:r>
    <w:proofErr w:type="gramEnd"/>
    <w:r>
      <w:rPr>
        <w:rFonts w:ascii="Berylum" w:hAnsi="Berylum"/>
        <w:bCs/>
        <w:iCs/>
        <w:sz w:val="22"/>
        <w:szCs w:val="22"/>
      </w:rPr>
      <w:t xml:space="preserve"> de Justicia Tel: (6) 8879635  - Fax. (6) 8879637</w:t>
    </w:r>
  </w:p>
  <w:p w14:paraId="3EEEE300" w14:textId="77777777" w:rsidR="00624B79" w:rsidRDefault="00236967">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33AC" w14:textId="7605753A" w:rsidR="00624B79" w:rsidRDefault="000927BB">
    <w:pPr>
      <w:pStyle w:val="Piedepgina"/>
      <w:tabs>
        <w:tab w:val="left" w:pos="7371"/>
      </w:tabs>
      <w:rPr>
        <w:rFonts w:ascii="Berylum" w:hAnsi="Berylum"/>
        <w:bCs/>
        <w:iCs/>
        <w:sz w:val="22"/>
        <w:szCs w:val="22"/>
      </w:rPr>
    </w:pPr>
    <w:r>
      <w:rPr>
        <w:rFonts w:ascii="Berylum" w:hAnsi="Berylum"/>
        <w:bCs/>
        <w:iCs/>
        <w:sz w:val="22"/>
        <w:szCs w:val="22"/>
      </w:rPr>
      <w:pict w14:anchorId="219ED378">
        <v:group id="Grupo 10" o:spid="_x0000_s3104" style="position:absolute;margin-left:366.75pt;margin-top:-24pt;width:85.5pt;height:78.1pt;z-index:1"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Logo-IQNet AZUL" style="position:absolute;left:6304;top:1606;width:4556;height:4686">
            <v:imagedata r:id="rId1" o:title="" croptop="3856f" cropbottom="4819f" cropleft="4819f" cropright="2891f"/>
          </v:shape>
          <v:rect id="Rectángulo 3" o:spid="_x0000_s3105" alt="Logo-IQNet AZUL" style="position:absolute;top:7901;width:6671;height:2018;mso-wrap-style:none" filled="f" stroked="f">
            <v:textbox style="mso-fit-shape-to-text:t">
              <w:txbxContent>
                <w:p w14:paraId="65235D43" w14:textId="77777777" w:rsidR="00624B79" w:rsidRDefault="00236967">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2054" type="#_x0000_t75" alt="Sello-ICONTEC_ISO-9001 AZUL" style="position:absolute;left:674;width:5320;height:7901">
            <v:imagedata r:id="rId2" o:title="" croptop="3710f" cropbottom="3710f" cropleft="4977f" cropright="5807f"/>
          </v:shape>
        </v:group>
      </w:pict>
    </w:r>
    <w:r w:rsidR="00236967">
      <w:rPr>
        <w:rFonts w:ascii="Berylum" w:hAnsi="Berylum"/>
        <w:bCs/>
        <w:iCs/>
        <w:sz w:val="22"/>
        <w:szCs w:val="22"/>
      </w:rPr>
      <w:t>Carrera 23 No. 21 – 48 Palacio de Justicia Tel: (6) 8879635 - Fax. (6) 8879637</w:t>
    </w:r>
  </w:p>
  <w:p w14:paraId="263C321D" w14:textId="77777777" w:rsidR="00624B79" w:rsidRDefault="00236967">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922F" w14:textId="77777777" w:rsidR="000927BB" w:rsidRDefault="000927BB">
      <w:r>
        <w:separator/>
      </w:r>
    </w:p>
  </w:footnote>
  <w:footnote w:type="continuationSeparator" w:id="0">
    <w:p w14:paraId="033904D3" w14:textId="77777777" w:rsidR="000927BB" w:rsidRDefault="000927BB">
      <w:r>
        <w:continuationSeparator/>
      </w:r>
    </w:p>
  </w:footnote>
  <w:footnote w:id="1">
    <w:p w14:paraId="0921F84D" w14:textId="32269C12" w:rsidR="00F151AC" w:rsidRPr="00CE2731" w:rsidRDefault="00F151AC" w:rsidP="00F151AC">
      <w:pPr>
        <w:pStyle w:val="Textonotapie"/>
        <w:jc w:val="both"/>
        <w:rPr>
          <w:sz w:val="12"/>
          <w:szCs w:val="12"/>
        </w:rPr>
      </w:pPr>
      <w:r w:rsidRPr="00712DEC">
        <w:rPr>
          <w:rStyle w:val="Refdenotaalpie"/>
          <w:sz w:val="18"/>
          <w:szCs w:val="18"/>
        </w:rPr>
        <w:footnoteRef/>
      </w:r>
      <w:r>
        <w:t xml:space="preserve"> </w:t>
      </w:r>
      <w:r w:rsidRPr="00CE2731">
        <w:rPr>
          <w:rFonts w:ascii="Arial" w:hAnsi="Arial" w:cs="Arial"/>
          <w:sz w:val="14"/>
          <w:szCs w:val="14"/>
        </w:rPr>
        <w:t>Acuerdo No. CSJCAA17-476 del 6 de octubre de 2017, modificado con el Acuerdo No. CSJCAA17-477 del 9 de octubre de 2017</w:t>
      </w:r>
      <w:r w:rsidR="000C456C" w:rsidRPr="00CE2731">
        <w:rPr>
          <w:rFonts w:ascii="Arial" w:hAnsi="Arial" w:cs="Arial"/>
          <w:sz w:val="14"/>
          <w:szCs w:val="14"/>
        </w:rPr>
        <w:t xml:space="preserve"> expedido por el Consejo Seccional de la Judicatura de Caldas</w:t>
      </w:r>
      <w:r w:rsidRPr="00CE2731">
        <w:rPr>
          <w:rFonts w:ascii="Arial" w:hAnsi="Arial" w:cs="Arial"/>
          <w:sz w:val="14"/>
          <w:szCs w:val="14"/>
        </w:rPr>
        <w:t>.</w:t>
      </w:r>
    </w:p>
  </w:footnote>
  <w:footnote w:id="2">
    <w:p w14:paraId="3AD4D3D3" w14:textId="63D36A69" w:rsidR="00315F39" w:rsidRPr="00CE2731" w:rsidRDefault="00315F39" w:rsidP="001D1ED9">
      <w:pPr>
        <w:autoSpaceDE w:val="0"/>
        <w:autoSpaceDN w:val="0"/>
        <w:adjustRightInd w:val="0"/>
        <w:jc w:val="both"/>
        <w:rPr>
          <w:rFonts w:ascii="Arial" w:hAnsi="Arial" w:cs="Arial"/>
          <w:sz w:val="14"/>
          <w:szCs w:val="14"/>
        </w:rPr>
      </w:pPr>
      <w:r w:rsidRPr="00730AFC">
        <w:rPr>
          <w:rStyle w:val="Refdenotaalpie"/>
          <w:sz w:val="18"/>
          <w:szCs w:val="18"/>
        </w:rPr>
        <w:footnoteRef/>
      </w:r>
      <w:r w:rsidRPr="00730AFC">
        <w:rPr>
          <w:sz w:val="18"/>
          <w:szCs w:val="18"/>
        </w:rPr>
        <w:t xml:space="preserve"> </w:t>
      </w:r>
      <w:r w:rsidRPr="00CE2731">
        <w:rPr>
          <w:rFonts w:ascii="Arial" w:hAnsi="Arial" w:cs="Arial"/>
          <w:sz w:val="14"/>
          <w:szCs w:val="14"/>
        </w:rPr>
        <w:t xml:space="preserve">Acuerdo PSAA08-4856 del 10 de junio de 2008 expedido por el Consejo Superior de la Judicatura </w:t>
      </w:r>
      <w:r w:rsidRPr="00CE2731">
        <w:rPr>
          <w:rFonts w:ascii="Arial" w:hAnsi="Arial" w:cs="Arial"/>
          <w:sz w:val="14"/>
          <w:szCs w:val="14"/>
          <w:lang w:val="es-CO" w:eastAsia="es-CO"/>
        </w:rPr>
        <w:t>“Por medio del cual se reglamenta el parágrafo del artículo 165 y el inciso 2º del artículo 167 de la Ley 270 de 1996 y se dictan otras disposiciones relacionadas con la actualización de los registros de elegibles y listas de elegibles para los cargos de carrera de empleados de la Rama Judicial”</w:t>
      </w:r>
      <w:r>
        <w:rPr>
          <w:rFonts w:ascii="Arial" w:hAnsi="Arial" w:cs="Arial"/>
          <w:sz w:val="14"/>
          <w:szCs w:val="14"/>
          <w:lang w:val="es-CO" w:eastAsia="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4304" w14:textId="77777777" w:rsidR="00624B79" w:rsidRDefault="00624B79">
    <w:pPr>
      <w:jc w:val="both"/>
      <w:rPr>
        <w:rFonts w:ascii="Arial" w:hAnsi="Arial" w:cs="Arial"/>
        <w:sz w:val="16"/>
        <w:szCs w:val="16"/>
      </w:rPr>
    </w:pPr>
  </w:p>
  <w:p w14:paraId="045CB83D" w14:textId="6D1EB0B9" w:rsidR="00624B79" w:rsidRDefault="00236967">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Pr>
        <w:rFonts w:ascii="Berylium" w:hAnsi="Berylium"/>
        <w:bCs/>
        <w:iCs/>
        <w:sz w:val="22"/>
        <w:szCs w:val="22"/>
      </w:rPr>
      <w:t>#</w:t>
    </w:r>
    <w:r>
      <w:rPr>
        <w:rFonts w:ascii="Berylium" w:hAnsi="Berylium"/>
        <w:bCs/>
        <w:iCs/>
        <w:sz w:val="22"/>
        <w:szCs w:val="22"/>
      </w:rPr>
      <w:fldChar w:fldCharType="end"/>
    </w:r>
    <w:r>
      <w:rPr>
        <w:rFonts w:ascii="Berylium" w:hAnsi="Berylium"/>
        <w:bCs/>
        <w:iCs/>
        <w:sz w:val="22"/>
        <w:szCs w:val="22"/>
      </w:rPr>
      <w:t xml:space="preserve">  Oficio</w:t>
    </w:r>
    <w:r>
      <w:rPr>
        <w:rFonts w:ascii="Arial" w:hAnsi="Arial" w:cs="Arial"/>
        <w:lang w:val="es-CO"/>
      </w:rPr>
      <w:t xml:space="preserve"> </w:t>
    </w:r>
    <w:r w:rsidR="00F475AC">
      <w:rPr>
        <w:rFonts w:ascii="Berylium" w:hAnsi="Berylium" w:cs="Arial"/>
        <w:sz w:val="22"/>
        <w:szCs w:val="22"/>
        <w:lang w:val="es-CO"/>
      </w:rPr>
      <w:t>CSJCAO25-</w:t>
    </w:r>
    <w:r w:rsidR="006531DE">
      <w:rPr>
        <w:rFonts w:ascii="Berylium" w:hAnsi="Berylium" w:cs="Arial"/>
        <w:sz w:val="22"/>
        <w:szCs w:val="22"/>
        <w:lang w:val="es-CO"/>
      </w:rPr>
      <w:t>xx</w:t>
    </w:r>
  </w:p>
  <w:p w14:paraId="7414B015" w14:textId="77777777" w:rsidR="00624B79" w:rsidRDefault="00624B79">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D458" w14:textId="77777777" w:rsidR="00624B79" w:rsidRDefault="000927BB">
    <w:pPr>
      <w:pStyle w:val="Encabezado"/>
      <w:jc w:val="center"/>
      <w:rPr>
        <w:rFonts w:ascii="Berylium" w:hAnsi="Berylium"/>
        <w:bCs/>
        <w:iCs/>
        <w:sz w:val="22"/>
        <w:szCs w:val="22"/>
      </w:rPr>
    </w:pPr>
    <w:r>
      <w:rPr>
        <w:rFonts w:ascii="Berylium" w:hAnsi="Berylium"/>
        <w:bCs/>
        <w:iCs/>
        <w:noProof/>
        <w:sz w:val="22"/>
        <w:szCs w:val="22"/>
        <w:lang w:val="es-CO" w:eastAsia="es-CO"/>
      </w:rPr>
      <w:pict w14:anchorId="3C68F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3" type="#_x0000_t75" style="position:absolute;left:0;text-align:left;margin-left:-67.05pt;margin-top:-20.45pt;width:188.25pt;height:62.15pt;z-index:-1;mso-wrap-distance-left:9pt;mso-wrap-distance-top:0;mso-wrap-distance-right:9pt;mso-wrap-distance-bottom:0;mso-position-horizontal:absolute;mso-position-horizontal-relative:text;mso-position-vertical:absolute;mso-position-vertical-relative:text">
          <v:imagedata r:id="rId1" o:title=""/>
        </v:shape>
      </w:pict>
    </w:r>
    <w:r w:rsidR="00236967">
      <w:rPr>
        <w:rFonts w:ascii="Berylium" w:hAnsi="Berylium"/>
        <w:bCs/>
        <w:iCs/>
        <w:sz w:val="22"/>
        <w:szCs w:val="22"/>
      </w:rPr>
      <w:t>Consejo Superior de la Judicatura</w:t>
    </w:r>
  </w:p>
  <w:p w14:paraId="56B82017" w14:textId="77777777" w:rsidR="00624B79" w:rsidRDefault="00236967">
    <w:pPr>
      <w:pStyle w:val="Encabezado"/>
      <w:jc w:val="center"/>
      <w:rPr>
        <w:rFonts w:ascii="Berylium" w:hAnsi="Berylium"/>
        <w:bCs/>
        <w:iCs/>
        <w:sz w:val="22"/>
        <w:szCs w:val="22"/>
      </w:rPr>
    </w:pPr>
    <w:r>
      <w:rPr>
        <w:rFonts w:ascii="Berylium" w:hAnsi="Berylium"/>
        <w:bCs/>
        <w:iCs/>
        <w:sz w:val="22"/>
        <w:szCs w:val="22"/>
      </w:rPr>
      <w:t>Consejo Seccional de la Judicatura de Caldas</w:t>
    </w:r>
  </w:p>
  <w:p w14:paraId="70B3F063" w14:textId="77777777" w:rsidR="00624B79" w:rsidRDefault="00236967">
    <w:pPr>
      <w:pStyle w:val="Encabezado"/>
      <w:jc w:val="center"/>
    </w:pPr>
    <w:r>
      <w:rPr>
        <w:rFonts w:ascii="Berylium" w:hAnsi="Berylium"/>
        <w:bCs/>
        <w:iCs/>
        <w:sz w:val="22"/>
        <w:szCs w:val="22"/>
      </w:rPr>
      <w:t>Presidencia</w:t>
    </w:r>
  </w:p>
  <w:p w14:paraId="421A0498" w14:textId="77777777" w:rsidR="00624B79" w:rsidRDefault="00624B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A59"/>
    <w:multiLevelType w:val="hybridMultilevel"/>
    <w:tmpl w:val="41C6C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8F66586"/>
    <w:multiLevelType w:val="hybridMultilevel"/>
    <w:tmpl w:val="D3B6A942"/>
    <w:lvl w:ilvl="0" w:tplc="2C6EDC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7B2745"/>
    <w:multiLevelType w:val="hybridMultilevel"/>
    <w:tmpl w:val="BEEE69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56237A"/>
    <w:multiLevelType w:val="hybridMultilevel"/>
    <w:tmpl w:val="49B4D3AA"/>
    <w:lvl w:ilvl="0" w:tplc="DE526A3E">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003848"/>
    <w:multiLevelType w:val="hybridMultilevel"/>
    <w:tmpl w:val="AB068D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E25067C"/>
    <w:multiLevelType w:val="hybridMultilevel"/>
    <w:tmpl w:val="8E086C4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1856C8B"/>
    <w:multiLevelType w:val="hybridMultilevel"/>
    <w:tmpl w:val="D026F5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784F0A"/>
    <w:multiLevelType w:val="hybridMultilevel"/>
    <w:tmpl w:val="D6F4F5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15744C"/>
    <w:multiLevelType w:val="hybridMultilevel"/>
    <w:tmpl w:val="9A901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B40C5B"/>
    <w:multiLevelType w:val="hybridMultilevel"/>
    <w:tmpl w:val="6582BF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3B12C6"/>
    <w:multiLevelType w:val="hybridMultilevel"/>
    <w:tmpl w:val="E9AE5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151917"/>
    <w:multiLevelType w:val="hybridMultilevel"/>
    <w:tmpl w:val="61822C7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F9837EA"/>
    <w:multiLevelType w:val="hybridMultilevel"/>
    <w:tmpl w:val="B4D4CE5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6A007AB"/>
    <w:multiLevelType w:val="hybridMultilevel"/>
    <w:tmpl w:val="7F8E078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7D07261"/>
    <w:multiLevelType w:val="hybridMultilevel"/>
    <w:tmpl w:val="8AA6AC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4"/>
  </w:num>
  <w:num w:numId="5">
    <w:abstractNumId w:val="12"/>
  </w:num>
  <w:num w:numId="6">
    <w:abstractNumId w:val="4"/>
  </w:num>
  <w:num w:numId="7">
    <w:abstractNumId w:val="2"/>
  </w:num>
  <w:num w:numId="8">
    <w:abstractNumId w:val="6"/>
  </w:num>
  <w:num w:numId="9">
    <w:abstractNumId w:val="8"/>
  </w:num>
  <w:num w:numId="10">
    <w:abstractNumId w:val="9"/>
  </w:num>
  <w:num w:numId="11">
    <w:abstractNumId w:val="3"/>
  </w:num>
  <w:num w:numId="12">
    <w:abstractNumId w:val="1"/>
  </w:num>
  <w:num w:numId="13">
    <w:abstractNumId w:val="1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Moves/>
  <w:defaultTabStop w:val="708"/>
  <w:hyphenationZone w:val="425"/>
  <w:characterSpacingControl w:val="doNotCompress"/>
  <w:savePreviewPicture/>
  <w:hdrShapeDefaults>
    <o:shapedefaults v:ext="edit" spidmax="3106"/>
    <o:shapelayout v:ext="edit">
      <o:idmap v:ext="edit" data="2,3"/>
    </o:shapelayout>
  </w:hdrShapeDefaults>
  <w:footnotePr>
    <w:footnote w:id="-1"/>
    <w:footnote w:id="0"/>
  </w:footnotePr>
  <w:endnotePr>
    <w:endnote w:id="-1"/>
    <w:endnote w:id="0"/>
  </w:endnotePr>
  <w:compat>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B79"/>
    <w:rsid w:val="000018E0"/>
    <w:rsid w:val="00003F8A"/>
    <w:rsid w:val="000137E6"/>
    <w:rsid w:val="00014924"/>
    <w:rsid w:val="0002348F"/>
    <w:rsid w:val="00023A5C"/>
    <w:rsid w:val="00026762"/>
    <w:rsid w:val="00027085"/>
    <w:rsid w:val="000353D5"/>
    <w:rsid w:val="00037A96"/>
    <w:rsid w:val="000474F0"/>
    <w:rsid w:val="00070C8C"/>
    <w:rsid w:val="000735D2"/>
    <w:rsid w:val="00076796"/>
    <w:rsid w:val="000927BB"/>
    <w:rsid w:val="00094C0B"/>
    <w:rsid w:val="000C1A05"/>
    <w:rsid w:val="000C456C"/>
    <w:rsid w:val="000C7D00"/>
    <w:rsid w:val="000F6B50"/>
    <w:rsid w:val="000F761C"/>
    <w:rsid w:val="00104FB2"/>
    <w:rsid w:val="00116E91"/>
    <w:rsid w:val="00120C03"/>
    <w:rsid w:val="001268C1"/>
    <w:rsid w:val="001470EC"/>
    <w:rsid w:val="00147302"/>
    <w:rsid w:val="0014735A"/>
    <w:rsid w:val="00153DAD"/>
    <w:rsid w:val="00154A23"/>
    <w:rsid w:val="00157306"/>
    <w:rsid w:val="001649B5"/>
    <w:rsid w:val="00165A8C"/>
    <w:rsid w:val="00170A96"/>
    <w:rsid w:val="00172506"/>
    <w:rsid w:val="001816F0"/>
    <w:rsid w:val="00182F96"/>
    <w:rsid w:val="00185330"/>
    <w:rsid w:val="00186499"/>
    <w:rsid w:val="00186730"/>
    <w:rsid w:val="0019094D"/>
    <w:rsid w:val="001A5527"/>
    <w:rsid w:val="001C4442"/>
    <w:rsid w:val="001C4921"/>
    <w:rsid w:val="001D0346"/>
    <w:rsid w:val="001D1AE6"/>
    <w:rsid w:val="001D1ED9"/>
    <w:rsid w:val="001D28EE"/>
    <w:rsid w:val="001E1DD2"/>
    <w:rsid w:val="001F752A"/>
    <w:rsid w:val="002103D6"/>
    <w:rsid w:val="00236967"/>
    <w:rsid w:val="0023696A"/>
    <w:rsid w:val="00236CAD"/>
    <w:rsid w:val="00240B7C"/>
    <w:rsid w:val="00241B89"/>
    <w:rsid w:val="00242C63"/>
    <w:rsid w:val="00250DC9"/>
    <w:rsid w:val="0026333C"/>
    <w:rsid w:val="00270A01"/>
    <w:rsid w:val="00274623"/>
    <w:rsid w:val="0028028B"/>
    <w:rsid w:val="00285DE8"/>
    <w:rsid w:val="002861B5"/>
    <w:rsid w:val="00292322"/>
    <w:rsid w:val="002942A6"/>
    <w:rsid w:val="0029686F"/>
    <w:rsid w:val="00296B62"/>
    <w:rsid w:val="002A1EDC"/>
    <w:rsid w:val="002A5EC9"/>
    <w:rsid w:val="002B0370"/>
    <w:rsid w:val="002B3EA8"/>
    <w:rsid w:val="002C02FB"/>
    <w:rsid w:val="002C7399"/>
    <w:rsid w:val="002F105F"/>
    <w:rsid w:val="002F15E7"/>
    <w:rsid w:val="0030146D"/>
    <w:rsid w:val="00315F39"/>
    <w:rsid w:val="0032419C"/>
    <w:rsid w:val="003244A8"/>
    <w:rsid w:val="00335674"/>
    <w:rsid w:val="00341C6A"/>
    <w:rsid w:val="003420C6"/>
    <w:rsid w:val="003449ED"/>
    <w:rsid w:val="00347530"/>
    <w:rsid w:val="003633B2"/>
    <w:rsid w:val="00364F31"/>
    <w:rsid w:val="003708B7"/>
    <w:rsid w:val="003747DB"/>
    <w:rsid w:val="00374B66"/>
    <w:rsid w:val="00376639"/>
    <w:rsid w:val="00386840"/>
    <w:rsid w:val="00392C67"/>
    <w:rsid w:val="00392DAA"/>
    <w:rsid w:val="00397B09"/>
    <w:rsid w:val="00397CAB"/>
    <w:rsid w:val="003A06D4"/>
    <w:rsid w:val="003A42C9"/>
    <w:rsid w:val="003C2C70"/>
    <w:rsid w:val="003C42EC"/>
    <w:rsid w:val="003D3FF1"/>
    <w:rsid w:val="003D5CCF"/>
    <w:rsid w:val="003E131B"/>
    <w:rsid w:val="003E49A1"/>
    <w:rsid w:val="003E5721"/>
    <w:rsid w:val="003F2FEC"/>
    <w:rsid w:val="003F4B05"/>
    <w:rsid w:val="003F603B"/>
    <w:rsid w:val="0040663F"/>
    <w:rsid w:val="00415A0D"/>
    <w:rsid w:val="00417864"/>
    <w:rsid w:val="00420B77"/>
    <w:rsid w:val="00422955"/>
    <w:rsid w:val="00443682"/>
    <w:rsid w:val="00444B5A"/>
    <w:rsid w:val="00447FCD"/>
    <w:rsid w:val="00452E82"/>
    <w:rsid w:val="00463AF2"/>
    <w:rsid w:val="004665A9"/>
    <w:rsid w:val="00473E6A"/>
    <w:rsid w:val="004905E2"/>
    <w:rsid w:val="0049110A"/>
    <w:rsid w:val="0049117C"/>
    <w:rsid w:val="00494182"/>
    <w:rsid w:val="00494492"/>
    <w:rsid w:val="0049466B"/>
    <w:rsid w:val="004B2DBE"/>
    <w:rsid w:val="004C3DB6"/>
    <w:rsid w:val="004D15CB"/>
    <w:rsid w:val="004D3BD0"/>
    <w:rsid w:val="004E01A3"/>
    <w:rsid w:val="004E6C74"/>
    <w:rsid w:val="00504B4A"/>
    <w:rsid w:val="00511972"/>
    <w:rsid w:val="00513390"/>
    <w:rsid w:val="00521DEC"/>
    <w:rsid w:val="0052407E"/>
    <w:rsid w:val="00540341"/>
    <w:rsid w:val="00562A01"/>
    <w:rsid w:val="0056743B"/>
    <w:rsid w:val="00572C66"/>
    <w:rsid w:val="00573D7B"/>
    <w:rsid w:val="00581E5C"/>
    <w:rsid w:val="005C1AC1"/>
    <w:rsid w:val="005C3E3A"/>
    <w:rsid w:val="005D3BA8"/>
    <w:rsid w:val="005D42B3"/>
    <w:rsid w:val="005F26BA"/>
    <w:rsid w:val="006019EE"/>
    <w:rsid w:val="006123D0"/>
    <w:rsid w:val="00612B88"/>
    <w:rsid w:val="00624B79"/>
    <w:rsid w:val="00624D49"/>
    <w:rsid w:val="00644D7B"/>
    <w:rsid w:val="00650402"/>
    <w:rsid w:val="00651C71"/>
    <w:rsid w:val="006531DE"/>
    <w:rsid w:val="006607EB"/>
    <w:rsid w:val="0066381C"/>
    <w:rsid w:val="00667921"/>
    <w:rsid w:val="006807B1"/>
    <w:rsid w:val="00681080"/>
    <w:rsid w:val="00682482"/>
    <w:rsid w:val="006901E1"/>
    <w:rsid w:val="006A1265"/>
    <w:rsid w:val="006A7466"/>
    <w:rsid w:val="006B58E1"/>
    <w:rsid w:val="006B6BE7"/>
    <w:rsid w:val="006B7B91"/>
    <w:rsid w:val="006C0443"/>
    <w:rsid w:val="006C0667"/>
    <w:rsid w:val="006C2D1B"/>
    <w:rsid w:val="006C50C9"/>
    <w:rsid w:val="006C52FA"/>
    <w:rsid w:val="006C5E53"/>
    <w:rsid w:val="006D3135"/>
    <w:rsid w:val="006D4FD1"/>
    <w:rsid w:val="006E3245"/>
    <w:rsid w:val="006E44D0"/>
    <w:rsid w:val="006E6A88"/>
    <w:rsid w:val="006E7E65"/>
    <w:rsid w:val="006F0573"/>
    <w:rsid w:val="006F1EEB"/>
    <w:rsid w:val="00700CEF"/>
    <w:rsid w:val="00702671"/>
    <w:rsid w:val="00712DEC"/>
    <w:rsid w:val="00713A9F"/>
    <w:rsid w:val="00715D18"/>
    <w:rsid w:val="00720762"/>
    <w:rsid w:val="007228CC"/>
    <w:rsid w:val="00723DEA"/>
    <w:rsid w:val="00725B2F"/>
    <w:rsid w:val="00725FC2"/>
    <w:rsid w:val="00730AFC"/>
    <w:rsid w:val="00735D45"/>
    <w:rsid w:val="00737071"/>
    <w:rsid w:val="00742689"/>
    <w:rsid w:val="00743A92"/>
    <w:rsid w:val="00754416"/>
    <w:rsid w:val="00761C9B"/>
    <w:rsid w:val="007745BD"/>
    <w:rsid w:val="00775E81"/>
    <w:rsid w:val="00777B97"/>
    <w:rsid w:val="00781406"/>
    <w:rsid w:val="00783B1F"/>
    <w:rsid w:val="007A23AD"/>
    <w:rsid w:val="007A23E1"/>
    <w:rsid w:val="007C5005"/>
    <w:rsid w:val="007E0A8E"/>
    <w:rsid w:val="007F50B6"/>
    <w:rsid w:val="007F552D"/>
    <w:rsid w:val="00800F37"/>
    <w:rsid w:val="008029E8"/>
    <w:rsid w:val="008039C5"/>
    <w:rsid w:val="008364FA"/>
    <w:rsid w:val="00854B72"/>
    <w:rsid w:val="00860E03"/>
    <w:rsid w:val="00861693"/>
    <w:rsid w:val="00865411"/>
    <w:rsid w:val="00867D56"/>
    <w:rsid w:val="008702DF"/>
    <w:rsid w:val="00871F5F"/>
    <w:rsid w:val="00877CDC"/>
    <w:rsid w:val="00884B02"/>
    <w:rsid w:val="008A587A"/>
    <w:rsid w:val="008B4825"/>
    <w:rsid w:val="008B500F"/>
    <w:rsid w:val="008C09A8"/>
    <w:rsid w:val="008C6A31"/>
    <w:rsid w:val="008D4576"/>
    <w:rsid w:val="008E1D27"/>
    <w:rsid w:val="008E3E5F"/>
    <w:rsid w:val="008E5161"/>
    <w:rsid w:val="009261C8"/>
    <w:rsid w:val="0093175D"/>
    <w:rsid w:val="0093485D"/>
    <w:rsid w:val="009351F1"/>
    <w:rsid w:val="009531C0"/>
    <w:rsid w:val="00956538"/>
    <w:rsid w:val="00956F72"/>
    <w:rsid w:val="009664B3"/>
    <w:rsid w:val="00966EF0"/>
    <w:rsid w:val="00973709"/>
    <w:rsid w:val="00973AC3"/>
    <w:rsid w:val="00975484"/>
    <w:rsid w:val="009B5C51"/>
    <w:rsid w:val="009C7927"/>
    <w:rsid w:val="009D00BD"/>
    <w:rsid w:val="009D666A"/>
    <w:rsid w:val="009D757E"/>
    <w:rsid w:val="009E2563"/>
    <w:rsid w:val="009E37C7"/>
    <w:rsid w:val="009F688F"/>
    <w:rsid w:val="00A10C9E"/>
    <w:rsid w:val="00A12C06"/>
    <w:rsid w:val="00A1494A"/>
    <w:rsid w:val="00A173BA"/>
    <w:rsid w:val="00A22F2B"/>
    <w:rsid w:val="00A3024B"/>
    <w:rsid w:val="00A30EAA"/>
    <w:rsid w:val="00A315E6"/>
    <w:rsid w:val="00A368E7"/>
    <w:rsid w:val="00A402CB"/>
    <w:rsid w:val="00A41BEE"/>
    <w:rsid w:val="00A53575"/>
    <w:rsid w:val="00A54154"/>
    <w:rsid w:val="00A600B9"/>
    <w:rsid w:val="00A62570"/>
    <w:rsid w:val="00A723DB"/>
    <w:rsid w:val="00A728EF"/>
    <w:rsid w:val="00A871D6"/>
    <w:rsid w:val="00A90A7F"/>
    <w:rsid w:val="00AA06CB"/>
    <w:rsid w:val="00AA2193"/>
    <w:rsid w:val="00AB7704"/>
    <w:rsid w:val="00AC5B86"/>
    <w:rsid w:val="00AD161B"/>
    <w:rsid w:val="00AE379C"/>
    <w:rsid w:val="00AE4EA1"/>
    <w:rsid w:val="00AF01B9"/>
    <w:rsid w:val="00AF7262"/>
    <w:rsid w:val="00AF7C09"/>
    <w:rsid w:val="00B171A8"/>
    <w:rsid w:val="00B34AA9"/>
    <w:rsid w:val="00B35DCD"/>
    <w:rsid w:val="00B364A4"/>
    <w:rsid w:val="00B6410F"/>
    <w:rsid w:val="00B6415D"/>
    <w:rsid w:val="00B70285"/>
    <w:rsid w:val="00B716DF"/>
    <w:rsid w:val="00B82EC3"/>
    <w:rsid w:val="00B90DD0"/>
    <w:rsid w:val="00B977BF"/>
    <w:rsid w:val="00BA59C1"/>
    <w:rsid w:val="00BB0662"/>
    <w:rsid w:val="00BC561C"/>
    <w:rsid w:val="00BC750F"/>
    <w:rsid w:val="00BE3A2B"/>
    <w:rsid w:val="00BE54C6"/>
    <w:rsid w:val="00BE6293"/>
    <w:rsid w:val="00C048F3"/>
    <w:rsid w:val="00C06F8E"/>
    <w:rsid w:val="00C1357D"/>
    <w:rsid w:val="00C20286"/>
    <w:rsid w:val="00C223AF"/>
    <w:rsid w:val="00C532F9"/>
    <w:rsid w:val="00C71936"/>
    <w:rsid w:val="00C7582C"/>
    <w:rsid w:val="00C75C2D"/>
    <w:rsid w:val="00C82AA6"/>
    <w:rsid w:val="00C84F8B"/>
    <w:rsid w:val="00C861FB"/>
    <w:rsid w:val="00C92048"/>
    <w:rsid w:val="00C95869"/>
    <w:rsid w:val="00CB2A74"/>
    <w:rsid w:val="00CB6F78"/>
    <w:rsid w:val="00CC6136"/>
    <w:rsid w:val="00CC6FB6"/>
    <w:rsid w:val="00CD5859"/>
    <w:rsid w:val="00CE2731"/>
    <w:rsid w:val="00CF1BAE"/>
    <w:rsid w:val="00CF7CB8"/>
    <w:rsid w:val="00D16747"/>
    <w:rsid w:val="00D4102E"/>
    <w:rsid w:val="00D474CB"/>
    <w:rsid w:val="00D75A76"/>
    <w:rsid w:val="00D87183"/>
    <w:rsid w:val="00D93ADC"/>
    <w:rsid w:val="00D97A38"/>
    <w:rsid w:val="00DA1327"/>
    <w:rsid w:val="00DA66F9"/>
    <w:rsid w:val="00DB5805"/>
    <w:rsid w:val="00DC1BCD"/>
    <w:rsid w:val="00DD0C51"/>
    <w:rsid w:val="00DD7FAB"/>
    <w:rsid w:val="00DE5C9F"/>
    <w:rsid w:val="00DF0CE1"/>
    <w:rsid w:val="00DF7293"/>
    <w:rsid w:val="00E0061C"/>
    <w:rsid w:val="00E05302"/>
    <w:rsid w:val="00E15B60"/>
    <w:rsid w:val="00E21BF9"/>
    <w:rsid w:val="00E22701"/>
    <w:rsid w:val="00E26572"/>
    <w:rsid w:val="00E30823"/>
    <w:rsid w:val="00E6450A"/>
    <w:rsid w:val="00E773C2"/>
    <w:rsid w:val="00E82F6B"/>
    <w:rsid w:val="00E85206"/>
    <w:rsid w:val="00E90D94"/>
    <w:rsid w:val="00EB7299"/>
    <w:rsid w:val="00EC3164"/>
    <w:rsid w:val="00ED714C"/>
    <w:rsid w:val="00EE1F71"/>
    <w:rsid w:val="00EF1E52"/>
    <w:rsid w:val="00F151AC"/>
    <w:rsid w:val="00F237FC"/>
    <w:rsid w:val="00F332DF"/>
    <w:rsid w:val="00F349E8"/>
    <w:rsid w:val="00F36388"/>
    <w:rsid w:val="00F41CD8"/>
    <w:rsid w:val="00F475AC"/>
    <w:rsid w:val="00F5546F"/>
    <w:rsid w:val="00F807D0"/>
    <w:rsid w:val="00FA04B3"/>
    <w:rsid w:val="00FA2BE5"/>
    <w:rsid w:val="00FB27C3"/>
    <w:rsid w:val="00FB2D0F"/>
    <w:rsid w:val="00FF7A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106"/>
    <o:shapelayout v:ext="edit">
      <o:idmap v:ext="edit" data="1"/>
    </o:shapelayout>
  </w:shapeDefaults>
  <w:decimalSymbol w:val=","/>
  <w:listSeparator w:val=";"/>
  <w14:docId w14:val="615F94D1"/>
  <w15:docId w15:val="{C2A7DCC9-6F6F-4846-9754-0C6D3C1B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5">
    <w:name w:val="heading 5"/>
    <w:basedOn w:val="Normal"/>
    <w:next w:val="Normal"/>
    <w:link w:val="Ttulo5Car"/>
    <w:uiPriority w:val="9"/>
    <w:semiHidden/>
    <w:unhideWhenUsed/>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pPr>
      <w:spacing w:before="100" w:beforeAutospacing="1" w:after="100" w:afterAutospacing="1"/>
    </w:pPr>
  </w:style>
  <w:style w:type="paragraph" w:styleId="Textonotapie">
    <w:name w:val="footnote text"/>
    <w:link w:val="TextonotapieCar"/>
    <w:rPr>
      <w:lang w:val="es-MX" w:eastAsia="es-MX"/>
    </w:rPr>
  </w:style>
  <w:style w:type="paragraph" w:styleId="Textonotaalfinal">
    <w:name w:val="endnote text"/>
    <w:link w:val="TextonotaalfinalCar"/>
    <w:semiHidden/>
    <w:rPr>
      <w:lang w:val="es-MX" w:eastAsia="es-MX"/>
    </w:rPr>
  </w:style>
  <w:style w:type="character" w:styleId="Nmerodelnea">
    <w:name w:val="line number"/>
    <w:basedOn w:val="Fuentedeprrafopredeter"/>
    <w:semiHidden/>
  </w:style>
  <w:style w:type="character" w:styleId="Hipervnculo">
    <w:name w:val="Hyperlink"/>
    <w:rPr>
      <w:color w:val="0000FF"/>
      <w:u w:val="single"/>
    </w:rPr>
  </w:style>
  <w:style w:type="character" w:styleId="Nmerodepgina">
    <w:name w:val="page number"/>
    <w:basedOn w:val="Fuentedeprrafopredeter"/>
  </w:style>
  <w:style w:type="character" w:customStyle="1" w:styleId="PiedepginaCar">
    <w:name w:val="Pie de página Car"/>
    <w:link w:val="Piedepgina"/>
    <w:rPr>
      <w:sz w:val="24"/>
      <w:szCs w:val="24"/>
      <w:lang w:val="es-ES" w:eastAsia="es-ES"/>
    </w:rPr>
  </w:style>
  <w:style w:type="character" w:customStyle="1" w:styleId="Ttulo5Car">
    <w:name w:val="Título 5 Car"/>
    <w:link w:val="Ttulo5"/>
    <w:rPr>
      <w:rFonts w:ascii="Tahoma" w:eastAsia="Arial Unicode MS" w:hAnsi="Tahoma" w:cs="Tahoma"/>
      <w:b/>
      <w:bCs/>
      <w:sz w:val="24"/>
      <w:szCs w:val="24"/>
      <w:lang w:eastAsia="es-ES"/>
    </w:rPr>
  </w:style>
  <w:style w:type="character" w:customStyle="1" w:styleId="EncabezadoCar">
    <w:name w:val="Encabezado Car"/>
    <w:link w:val="Encabezado"/>
    <w:rPr>
      <w:sz w:val="24"/>
      <w:szCs w:val="24"/>
      <w:lang w:val="es-ES" w:eastAsia="es-ES"/>
    </w:rPr>
  </w:style>
  <w:style w:type="character" w:styleId="Refdenotaalpie">
    <w:name w:val="footnote reference"/>
    <w:rPr>
      <w:vertAlign w:val="superscript"/>
    </w:rPr>
  </w:style>
  <w:style w:type="character" w:customStyle="1" w:styleId="TextonotapieCar">
    <w:name w:val="Texto nota pie Car"/>
    <w:link w:val="Textonotapie"/>
    <w:rPr>
      <w:sz w:val="20"/>
      <w:szCs w:val="20"/>
    </w:rPr>
  </w:style>
  <w:style w:type="character" w:styleId="Refdenotaalfinal">
    <w:name w:val="endnote reference"/>
    <w:semiHidden/>
    <w:rPr>
      <w:vertAlign w:val="superscript"/>
    </w:rPr>
  </w:style>
  <w:style w:type="character" w:customStyle="1" w:styleId="TextonotaalfinalCar">
    <w:name w:val="Texto nota al final Car"/>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F2FEC"/>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076796"/>
    <w:pPr>
      <w:ind w:left="708"/>
    </w:pPr>
  </w:style>
  <w:style w:type="character" w:styleId="Mencinsinresolver">
    <w:name w:val="Unresolved Mention"/>
    <w:uiPriority w:val="99"/>
    <w:semiHidden/>
    <w:unhideWhenUsed/>
    <w:rsid w:val="007A23AD"/>
    <w:rPr>
      <w:color w:val="605E5C"/>
      <w:shd w:val="clear" w:color="auto" w:fill="E1DFDD"/>
    </w:rPr>
  </w:style>
  <w:style w:type="table" w:styleId="Tablaconcuadrcula">
    <w:name w:val="Table Grid"/>
    <w:basedOn w:val="Tablanormal"/>
    <w:uiPriority w:val="39"/>
    <w:rsid w:val="00F3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C82A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nalsicaldassubdirectiva@gmail.com" TargetMode="External"/><Relationship Id="rId13" Type="http://schemas.openxmlformats.org/officeDocument/2006/relationships/hyperlink" Target="https://etbcsj-my.sharepoint.com/:b:/g/personal/aux1sadma_cendoj_ramajudicial_gov_co/EVxVoAFJXHFJtJQZrxwxeRUB-_07x63G3wENr6Om1CIzgg?e=Lwggn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majudicial.gov.co/web/consejo-seccional-de-la-judicatura-de-caldas/vacantes-definitivas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bcsj-my.sharepoint.com/:b:/g/personal/aux1sadma_cendoj_ramajudicial_gov_co/EVxVoAFJXHFJtJQZrxwxeRUB-_07x63G3wENr6Om1CIzgg?e=Lwggn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90.217.24.24/sinsac/index.php?controller=menu&amp;action=mod_registro_elegib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bcsj-my.sharepoint.com/:b:/g/personal/aux1sadma_cendoj_ramajudicial_gov_co/EeSbQLacJSRAr4W_9hdnJdQB0Yx12zaTPf-c4F8CvtCSlw?e=A7v9ub"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2344-9286-49EF-90A7-3656A445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Pages>
  <Words>1052</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Diana Maria Arenas Garcia</cp:lastModifiedBy>
  <cp:revision>387</cp:revision>
  <cp:lastPrinted>2025-03-04T12:29:00Z</cp:lastPrinted>
  <dcterms:created xsi:type="dcterms:W3CDTF">2020-07-29T16:31:00Z</dcterms:created>
  <dcterms:modified xsi:type="dcterms:W3CDTF">2025-06-20T15:17:00Z</dcterms:modified>
</cp:coreProperties>
</file>